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Date"/>
      </w:pPr>
      <w:r>
        <w:t xml:space="preserve">January</w:t>
      </w:r>
      <w:r>
        <w:t xml:space="preserve"> </w:t>
      </w:r>
      <w:r>
        <w:t xml:space="preserve">1910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4"/>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5"/>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r>
        <w:rPr>
          <w:rStyle w:val="FootnoteRef"/>
        </w:rPr>
        <w:footnoteReference w:id="26"/>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7" w:name="national-wireless-telegraph-board-proposed"/>
    <w:p>
      <w:pPr>
        <w:pStyle w:val="Heading2"/>
      </w:pPr>
      <w:r>
        <w:t xml:space="preserve">National Wireless Telegraph Board Proposed</w:t>
      </w:r>
    </w:p>
    <w:bookmarkEnd w:id="27"/>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28"/>
      </w:r>
    </w:p>
    <w:p>
      <w:r>
        <w:pict>
          <v:rect style="width:0;height:1.5pt" o:hralign="center" o:hrstd="t" o:hr="t"/>
        </w:pict>
      </w:r>
    </w:p>
    <w:bookmarkStart w:id="29" w:name="w.-a.-o.-a."/>
    <w:p>
      <w:pPr>
        <w:pStyle w:val="Heading2"/>
      </w:pPr>
      <w:r>
        <w:t xml:space="preserve">W. A. O. A.</w:t>
      </w:r>
    </w:p>
    <w:bookmarkEnd w:id="29"/>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drawing>
          <wp:inline>
            <wp:extent cx="3213100" cy="2895600"/>
            <wp:effectExtent b="0" l="0" r="0" t="0"/>
            <wp:docPr descr="" id="1" name="Picture"/>
            <a:graphic>
              <a:graphicData uri="http://schemas.openxmlformats.org/drawingml/2006/picture">
                <pic:pic>
                  <pic:nvPicPr>
                    <pic:cNvPr descr="images/waoa.png" id="0" name="Picture"/>
                    <pic:cNvPicPr>
                      <a:picLocks noChangeArrowheads="1" noChangeAspect="1"/>
                    </pic:cNvPicPr>
                  </pic:nvPicPr>
                  <pic:blipFill>
                    <a:blip r:embed="rId30"/>
                    <a:stretch>
                      <a:fillRect/>
                    </a:stretch>
                  </pic:blipFill>
                  <pic:spPr bwMode="auto">
                    <a:xfrm>
                      <a:off x="0" y="0"/>
                      <a:ext cx="3213100" cy="2895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Congressman Ernest W. Roberts of Massachusetts’s 7th District introduced House Joint Resolution 95. Though Roberts’s proposals did not go far, aspects of this Resolution were incorporated into the Radio Acts of 1910 and 1912.</w:t>
      </w:r>
    </w:p>
  </w:footnote>
  <w:footnote w:id="25">
    <w:p>
      <w:pPr>
        <w:pStyle w:val="FootnoteText"/>
      </w:pPr>
      <w:r>
        <w:rPr>
          <w:rStyle w:val="FootnoteRef"/>
        </w:rPr>
        <w:footnoteRef/>
      </w:r>
      <w:r>
        <w:t xml:space="preserve">Jonathan Sterne writes on the postwar politics of rural access to a different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Jonathan Sterne, “Television Under Construction: American Television and the Problem of Distribution, 1926-1962,” in</w:t>
      </w:r>
      <w:r>
        <w:t xml:space="preserve"> </w:t>
      </w:r>
      <w:r>
        <w:rPr>
          <w:i/>
        </w:rPr>
        <w:t xml:space="preserve">Television: Critical Concepts in Media and Cultural Studies</w:t>
      </w:r>
      <w:r>
        <w:t xml:space="preserve">, ed. Toby Miller, vol. 1, (New York; London: Routledge, 2003)</w:t>
      </w:r>
    </w:p>
  </w:footnote>
  <w:footnote w:id="26">
    <w:p>
      <w:pPr>
        <w:pStyle w:val="FootnoteText"/>
      </w:pPr>
      <w:r>
        <w:rPr>
          <w:rStyle w:val="FootnoteRef"/>
        </w:rPr>
        <w:footnoteRef/>
      </w:r>
      <w:r>
        <w:t xml:space="preserve">A letter from a reader published in the June 1909 issue of</w:t>
      </w:r>
      <w:r>
        <w:t xml:space="preserve"> </w:t>
      </w:r>
      <w:r>
        <w:rPr>
          <w:i/>
        </w:rPr>
        <w:t xml:space="preserve">Modern Electrics</w:t>
      </w:r>
      <w:r>
        <w:t xml:space="preserve"> </w:t>
      </w:r>
      <w:r>
        <w:t xml:space="preserve">explains that it is no surprise for government stations to experience interference with when they are using apparatuses that are</w:t>
      </w:r>
      <w:r>
        <w:t xml:space="preserve"> </w:t>
      </w:r>
      <w:r>
        <w:t xml:space="preserve">“</w:t>
      </w:r>
      <w:r>
        <w:t xml:space="preserve">three years behind time.</w:t>
      </w:r>
      <w:r>
        <w:t xml:space="preserve">”</w:t>
      </w:r>
    </w:p>
    <w:p>
      <w:pPr>
        <w:pStyle w:val="BlockQuote"/>
        <w:pStyle w:val="FootnoteText"/>
      </w:pPr>
      <w:r>
        <w:t xml:space="preserve">The experienced amateurs claim that the interference is generally caused by carelessness of the Government operators or by inexperienced amateurs. Some of these amateurs, when told to</w:t>
      </w:r>
      <w:r>
        <w:t xml:space="preserve"> </w:t>
      </w:r>
      <w:r>
        <w:t xml:space="preserve">‘</w:t>
      </w:r>
      <w:r>
        <w:t xml:space="preserve">get out</w:t>
      </w:r>
      <w:r>
        <w:t xml:space="preserve">’</w:t>
      </w:r>
      <w:r>
        <w:t xml:space="preserve"> </w:t>
      </w:r>
      <w:r>
        <w:t xml:space="preserve">by the navy operators, stay out for a time, but the average, after waiting half an hour, generally gets impatient and starts sending again. I hear more forcible conversations take place between them. The navy or army operators sometimes press down their keys for several minutes and drown out all sending which is being done in that range. Here the amateur steps in and says that if the Government operators cannot overcome amateur interference what will become of them in time of war when high powered stations of the enemy put the naval apparatus out of commission by simply holding down their (the enemy’s) keys?</w:t>
      </w:r>
    </w:p>
    <w:p>
      <w:pPr>
        <w:pStyle w:val="FootnoteText"/>
      </w:pPr>
      <w:r>
        <w:t xml:space="preserve">John Crockford, “Amateur Defense of Interference,”</w:t>
      </w:r>
      <w:r>
        <w:t xml:space="preserve"> </w:t>
      </w:r>
      <w:r>
        <w:rPr>
          <w:i/>
        </w:rPr>
        <w:t xml:space="preserve">Modern Electrics</w:t>
      </w:r>
      <w:r>
        <w:t xml:space="preserve">, 2, no. 3, (June 1909): 113</w:t>
      </w:r>
      <w:r>
        <w:t xml:space="preserve">.</w:t>
      </w:r>
    </w:p>
  </w:footnote>
  <w:footnote w:id="28">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who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676fe3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coreProperties>
</file>