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r>
        <w:rPr>
          <w:rStyle w:val="FootnoteRef"/>
        </w:rPr>
        <w:footnoteReference w:id="25"/>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7"/>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8"/>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9" w:name="national-wireless-telegraph-board-proposed"/>
    <w:p>
      <w:pPr>
        <w:pStyle w:val="Heading2"/>
      </w:pPr>
      <w:r>
        <w:t xml:space="preserve">National Wireless Telegraph Board Proposed</w:t>
      </w:r>
    </w:p>
    <w:bookmarkEnd w:id="29"/>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30"/>
      </w:r>
    </w:p>
    <w:p>
      <w:r>
        <w:pict>
          <v:rect style="width:0;height:1.5pt" o:hralign="center" o:hrstd="t" o:hr="t"/>
        </w:pict>
      </w:r>
    </w:p>
    <w:bookmarkStart w:id="31" w:name="w.-a.-o.-a."/>
    <w:p>
      <w:pPr>
        <w:pStyle w:val="Heading2"/>
      </w:pPr>
      <w:r>
        <w:t xml:space="preserve">W. A. O. A.</w:t>
      </w:r>
    </w:p>
    <w:bookmarkEnd w:id="31"/>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14325600" cy="8382000"/>
            <wp:effectExtent b="0" l="0" r="0" t="0"/>
            <wp:docPr descr="" id="1" name="Picture"/>
            <a:graphic>
              <a:graphicData uri="http://schemas.openxmlformats.org/drawingml/2006/picture">
                <pic:pic>
                  <pic:nvPicPr>
                    <pic:cNvPr descr="images/bicycle_wireless.png" id="0" name="Picture"/>
                    <pic:cNvPicPr>
                      <a:picLocks noChangeArrowheads="1" noChangeAspect="1"/>
                    </pic:cNvPicPr>
                  </pic:nvPicPr>
                  <pic:blipFill>
                    <a:blip r:embed="rId32"/>
                    <a:stretch>
                      <a:fillRect/>
                    </a:stretch>
                  </pic:blipFill>
                  <pic:spPr bwMode="auto">
                    <a:xfrm>
                      <a:off x="0" y="0"/>
                      <a:ext cx="14325600" cy="8382000"/>
                    </a:xfrm>
                    <a:prstGeom prst="rect">
                      <a:avLst/>
                    </a:prstGeom>
                    <a:noFill/>
                    <a:ln w="9525">
                      <a:noFill/>
                      <a:headEnd/>
                      <a:tailEnd/>
                    </a:ln>
                  </pic:spPr>
                </pic:pic>
              </a:graphicData>
            </a:graphic>
          </wp:inline>
        </w:drawing>
      </w:r>
    </w:p>
    <w:p>
      <w:pPr>
        <w:pStyle w:val="ImageCaption"/>
      </w:pPr>
      <w:r>
        <w:t xml:space="preserve">“</w:t>
      </w:r>
      <w:r>
        <w:t xml:space="preserve">How to Make a Wireless Bicycle Outfit,</w:t>
      </w:r>
      <w:r>
        <w:t xml:space="preserve">”</w:t>
      </w:r>
      <w:r>
        <w:t xml:space="preserve"> </w:t>
      </w:r>
      <w:r>
        <w:t xml:space="preserve">submitted to the September 1910 issue by reader William Dettmer.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his legislation on wireless regulation as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For more on the development of wireless telegraphy in Great Britain and Germany (where it was largely controlled by the private company Telefunken), see</w:t>
      </w:r>
      <w:r>
        <w:t xml:space="preserve"> </w:t>
      </w:r>
      <w:r>
        <w:t xml:space="preserve">Jonathan Reed Winkler, “Information Warfare in World War I,”</w:t>
      </w:r>
      <w:r>
        <w:t xml:space="preserve"> </w:t>
      </w:r>
      <w:r>
        <w:rPr>
          <w:i/>
        </w:rPr>
        <w:t xml:space="preserve">The Journal of Military History</w:t>
      </w:r>
      <w:r>
        <w:t xml:space="preserve">, 73, no. 3, (2009): 845–867, doi:</w:t>
      </w:r>
      <w:hyperlink r:id="rId26">
        <w:r>
          <w:rPr>
            <w:rStyle w:val="Link"/>
          </w:rPr>
          <w:t xml:space="preserve">10.1353/jmh.0.0324</w:t>
        </w:r>
      </w:hyperlink>
      <w:r>
        <w:t xml:space="preserve"/>
      </w:r>
      <w:r>
        <w:t xml:space="preserve">;</w:t>
      </w:r>
      <w:r>
        <w:t xml:space="preserve"> </w:t>
      </w:r>
      <w:r>
        <w:t xml:space="preserve">Heidi Evans, “’The Path to Freedom’? Transocean and Wireless Telegraphy, 1914-1922,”</w:t>
      </w:r>
      <w:r>
        <w:t xml:space="preserve"> </w:t>
      </w:r>
      <w:r>
        <w:rPr>
          <w:i/>
        </w:rPr>
        <w:t xml:space="preserve">Historical Social Research</w:t>
      </w:r>
      <w:r>
        <w:t xml:space="preserve">, 35, no. 1, (2010): 209–236</w:t>
      </w:r>
      <w:r>
        <w:t xml:space="preserve">.</w:t>
      </w:r>
    </w:p>
  </w:footnote>
  <w:footnote w:id="27">
    <w:p>
      <w:pPr>
        <w:pStyle w:val="FootnoteText"/>
      </w:pPr>
      <w:r>
        <w:rPr>
          <w:rStyle w:val="FootnoteRef"/>
        </w:rPr>
        <w:footnoteRef/>
      </w:r>
      <w:r>
        <w:t xml:space="preserve">Jonathan Sterne writes on the postwar politics of rural access to a later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8">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with when they are using apparatuses that are</w:t>
      </w:r>
      <w:r>
        <w:t xml:space="preserve"> </w:t>
      </w:r>
      <w:r>
        <w:t xml:space="preserve">“</w:t>
      </w:r>
      <w:r>
        <w:t xml:space="preserve">three years behind time.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(the enemy’s)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30">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689833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26" Target="http://dx.doi.org/10.1353/jmh.0.0324" TargetMode="External"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jmh.0.0324" TargetMode="External"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