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6"/>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7"/>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8"/>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Gernsback overlooks the importance of social groups and institutions in deciding the legibility of the problem an invention is designed to solve, as well as the precise means of solving it. Thanks to the legacies of science and technology studies, we now emphasize the ways technology is socially constructed, rather than celebrating the creativity of the lone genius inventor. Any invention must take place within the context of what Wiebe Bijker calls a technological frame, or</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w:t>
      </w: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 164).</w:t>
      </w:r>
    </w:p>
    <w:p>
      <w:pPr>
        <w:pStyle w:val="FootnoteText"/>
      </w:pPr>
      <w:r>
        <w:t xml:space="preserve">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Witness the College of Creative Studies at University of California, Santa Barbara, or the International Center for Studies in Creativity at Buffalo State College. The tension between the exceptionality of the individual inventor struck by divine inspiration and the step-by-step cultivation of that mindset in Gernsback’s popularization of science is evident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7">
    <w:p>
      <w:pPr>
        <w:pStyle w:val="FootnoteText"/>
      </w:pPr>
      <w:r>
        <w:rPr>
          <w:rStyle w:val="FootnoteRef"/>
        </w:rPr>
        <w:footnoteRef/>
      </w:r>
      <w:r>
        <w:t xml:space="preserve">Susan J. Douglas suggests that many companies were perceived to have failed in their pursuit of wireless telephone systems, 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8">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9"/>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b1901b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