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Date"/>
      </w:pPr>
      <w:r>
        <w:t xml:space="preserve">February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4"/>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r>
        <w:rPr>
          <w:rStyle w:val="FootnoteRef"/>
        </w:rPr>
        <w:footnoteReference w:id="26"/>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7"/>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8"/>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his depiction of invention, Gernsback overlooks the importance of social groups and institutions in deciding the legibility of the problem an invention is designed to solve, as well as the precise means of solving it. Thanks to the legacies of science and technology studies, we now emphasize the ways technology is socially constructed, rather than celebrating the creativity of the lone genius inventor. Any invention must take place within the context of what Wiebe Bijker calls a technological frame, or</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 (</w:t>
      </w: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 p. 164).</w:t>
      </w:r>
    </w:p>
    <w:p>
      <w:pPr>
        <w:pStyle w:val="FootnoteText"/>
      </w:pPr>
      <w:r>
        <w:t xml:space="preserve">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in creativity as an academic discipline or even a measurable learning outcome. Witness the College of Creative Studies at University of California, Santa Barbara, or the International Center for Studies in Creativity at Buffalo State College. The tension between the exceptionality of the individual inventor struck by divine inspiration and the step-by-step cultivation of that mindset in Gernsback’s popularization of science is evident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5">
        <w:r>
          <w:rPr>
            <w:rStyle w:val="Link"/>
          </w:rPr>
          <w:t xml:space="preserve">http://www.salon.com/2013/10/13/ted_talks_are_lying_to_you/</w:t>
        </w:r>
      </w:hyperlink>
      <w:r>
        <w:t xml:space="preserve"/>
      </w:r>
      <w:r>
        <w:t xml:space="preserve">.</w:t>
      </w:r>
    </w:p>
  </w:footnote>
  <w:footnote w:id="26">
    <w:p>
      <w:pPr>
        <w:pStyle w:val="FootnoteText"/>
      </w:pPr>
      <w:r>
        <w:rPr>
          <w:rStyle w:val="FootnoteRef"/>
        </w:rPr>
        <w:footnoteRef/>
      </w:r>
      <w:r>
        <w:t xml:space="preserve">This division between</w:t>
      </w:r>
      <w:r>
        <w:t xml:space="preserve"> </w:t>
      </w:r>
      <w:r>
        <w:t xml:space="preserve">“</w:t>
      </w:r>
      <w:r>
        <w:t xml:space="preserve">born</w:t>
      </w:r>
      <w:r>
        <w:t xml:space="preserve">”</w:t>
      </w:r>
      <w:r>
        <w:t xml:space="preserve"> </w:t>
      </w:r>
      <w:r>
        <w:t xml:space="preserve">and</w:t>
      </w:r>
      <w:r>
        <w:t xml:space="preserve"> </w:t>
      </w:r>
      <w:r>
        <w:t xml:space="preserve">“</w:t>
      </w:r>
      <w:r>
        <w:t xml:space="preserve">mechanical</w:t>
      </w:r>
      <w:r>
        <w:t xml:space="preserve">”</w:t>
      </w:r>
      <w:r>
        <w:t xml:space="preserve"> </w:t>
      </w:r>
      <w:r>
        <w:t xml:space="preserve">styles of invention—the whole cloth innovation of shiny new tools versus incremental acts of modification and repair—may today be seen to reflect a hemispheric divide. Steven J. Jackson argues that</w:t>
      </w:r>
      <w:r>
        <w:t xml:space="preserve"> </w:t>
      </w:r>
      <w:r>
        <w:t xml:space="preserve">“</w:t>
      </w:r>
      <w:r>
        <w:t xml:space="preserve">a Western and productivist imagination</w:t>
      </w:r>
      <w:r>
        <w:t xml:space="preserve">”</w:t>
      </w:r>
      <w:r>
        <w:t xml:space="preserve"> </w:t>
      </w:r>
      <w:r>
        <w:t xml:space="preserve">in studies of media and technology obscures the vast majority of technological practices around the world:</w:t>
      </w:r>
    </w:p>
    <w:p>
      <w:pPr>
        <w:pStyle w:val="BlockQuote"/>
        <w:pStyle w:val="FootnoteText"/>
      </w:pPr>
      <w:r>
        <w:t xml:space="preserve">breakdown, maintenance, and repair constitute crucial but vastly understudied sites or moments within the worlds of new media and technology today.</w:t>
      </w:r>
    </w:p>
    <w:p>
      <w:pPr>
        <w:pStyle w:val="FootnoteText"/>
      </w:pPr>
      <w:r>
        <w:t xml:space="preserve">For more on</w:t>
      </w:r>
      <w:r>
        <w:t xml:space="preserve"> </w:t>
      </w:r>
      <w:r>
        <w:t xml:space="preserve">“</w:t>
      </w:r>
      <w:r>
        <w:t xml:space="preserve">the distinctive repair ecologies of the develping world,</w:t>
      </w:r>
      <w:r>
        <w:t xml:space="preserve">”</w:t>
      </w:r>
      <w:r>
        <w:t xml:space="preserve"> </w:t>
      </w:r>
      <w:r>
        <w:t xml:space="preserve">see</w:t>
      </w:r>
      <w:r>
        <w:t xml:space="preserve"> </w:t>
      </w:r>
      <w:r>
        <w:t xml:space="preserve">Steven J. Jackson, “Rethinking Repair,” in</w:t>
      </w:r>
      <w:r>
        <w:t xml:space="preserve"> </w:t>
      </w:r>
      <w:r>
        <w:rPr>
          <w:i/>
        </w:rPr>
        <w:t xml:space="preserve">Media Technologies: Essays on Communication, Materiality, and Society</w:t>
      </w:r>
      <w:r>
        <w:t xml:space="preserve">, (Cambridge: MIT Press, 2014), 221–239</w:t>
      </w:r>
      <w:r>
        <w:t xml:space="preserve">.</w:t>
      </w:r>
    </w:p>
  </w:footnote>
  <w:footnote w:id="27">
    <w:p>
      <w:pPr>
        <w:pStyle w:val="FootnoteText"/>
      </w:pPr>
      <w:r>
        <w:rPr>
          <w:rStyle w:val="FootnoteRef"/>
        </w:rPr>
        <w:footnoteRef/>
      </w:r>
      <w:r>
        <w:t xml:space="preserve">Susan J. Douglas suggests that many companies were perceived to have failed in their pursuit of wireless telephone systems, 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8">
    <w:p>
      <w:pPr>
        <w:pStyle w:val="FootnoteText"/>
      </w:pPr>
      <w:r>
        <w:rPr>
          <w:rStyle w:val="FootnoteRef"/>
        </w:rPr>
        <w:footnoteRef/>
      </w:r>
      <w:r>
        <w:t xml:space="preserve">This is perhaps a reference to Lee de Forest, who incorporated the oscillating arc transmitter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drawing>
          <wp:inline>
            <wp:extent cx="8140700" cy="9652000"/>
            <wp:effectExtent b="0" l="0" r="0" t="0"/>
            <wp:docPr descr="" id="1" name="Picture"/>
            <a:graphic>
              <a:graphicData uri="http://schemas.openxmlformats.org/drawingml/2006/picture">
                <pic:pic>
                  <pic:nvPicPr>
                    <pic:cNvPr descr="images/aerophone_tower.png" id="0" name="Picture"/>
                    <pic:cNvPicPr>
                      <a:picLocks noChangeArrowheads="1" noChangeAspect="1"/>
                    </pic:cNvPicPr>
                  </pic:nvPicPr>
                  <pic:blipFill>
                    <a:blip r:embed="rId29"/>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ebfe85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coreProperties>
</file>