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 ternoon Is gi</w:t>
      </w:r>
      <w:r>
        <w:t xml:space="preserve">“</w:t>
      </w:r>
      <w:r>
        <w:t xml:space="preserve">ren an ovation by distance, In which the Telephot plays a great part. Afterwards he reads a</w:t>
      </w:r>
      <w:r>
        <w:t xml:space="preserve">”</w:t>
      </w:r>
      <w:r>
        <w:t xml:space="preserve">newspaper," 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6b45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