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Authors"/>
      </w:pPr>
      <w:r>
        <w:t xml:space="preserve">Modern</w:t>
      </w:r>
      <w:r>
        <w:t xml:space="preserve"> </w:t>
      </w:r>
      <w:r>
        <w:t xml:space="preserve">Electrics,</w:t>
      </w:r>
      <w:r>
        <w:t xml:space="preserve"> </w:t>
      </w:r>
      <w:r>
        <w:t xml:space="preserve">vol. 4</w:t>
      </w:r>
      <w:r>
        <w:t xml:space="preserve"> </w:t>
      </w:r>
      <w:r>
        <w:t xml:space="preserve">no.</w:t>
      </w:r>
      <w:r>
        <w:t xml:space="preserve"> </w:t>
      </w:r>
      <w:r>
        <w:t xml:space="preserve">11</w:t>
      </w:r>
    </w:p>
    <w:p>
      <w:pPr>
        <w:pStyle w:val="Date"/>
      </w:pPr>
      <w:r>
        <w:t xml:space="preserve">February</w:t>
      </w:r>
      <w:r>
        <w:t xml:space="preserve"> </w:t>
      </w:r>
      <w:r>
        <w:t xml:space="preserve">1912</w:t>
      </w:r>
    </w:p>
    <w:p>
      <w:r>
        <w:rPr>
          <w:b/>
        </w:rPr>
        <w:t xml:space="preserve">E</w:t>
      </w:r>
      <w:r>
        <w:t xml:space="preserve">LSEWHERE we print a copy of the new Alexander Wireless Bill.</w:t>
      </w:r>
      <w:r>
        <w:rPr>
          <w:rStyle w:val="FootnoteRef"/>
        </w:rPr>
        <w:footnoteReference w:id="21"/>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served as the kernel that eventually became the Radio Act of 1912. While the bill included no mention of amateur stations, after months of debate among and agitation by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eb2328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Modern Electrics, vol. 4 no. 11</dc:creator>
</cp:coreProperties>
</file>