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Date"/>
      </w:pPr>
      <w:r>
        <w:t xml:space="preserve">February</w:t>
      </w:r>
      <w:r>
        <w:t xml:space="preserve"> </w:t>
      </w:r>
      <w:r>
        <w:t xml:space="preserve">1912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LSEWHERE we print a copy of the new Alexander Wireless Bill.</w:t>
      </w:r>
      <w:r>
        <w:rPr>
          <w:rStyle w:val="FootnoteRef"/>
        </w:rPr>
        <w:footnoteReference w:id="24"/>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served as the kernel that eventually became the Radio Act of 1912. While the bill included no mention of amateur stations, after months of debate among and agitation by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3a796d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coreProperties>
</file>