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3.png" ContentType="image/png"/>
  <Override PartName="/word/media/rId28.png" ContentType="image/png"/>
  <Override PartName="/word/media/rId31.png" ContentType="image/png"/>
  <Override PartName="/word/media/rId34.png" ContentType="image/png"/>
  <Override PartName="/word/media/rId36.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1"/>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2"/>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3"/>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4"/>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26"/>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28"/>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29"/>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0"/>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1"/>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battery.[^buy]</w:t>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2"/>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4"/>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35"/>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36"/>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Gernsback:</w:t>
      </w:r>
      <w:r>
        <w:t xml:space="preserve"> </w:t>
      </w:r>
      <w:r>
        <w:t xml:space="preserve">“</w:t>
      </w:r>
      <w:r>
        <w:t xml:space="preserve">From the Greek Radio - Radius, and Sonus = Sound.</w:t>
      </w:r>
      <w:r>
        <w:t xml:space="preserve">”</w:t>
      </w:r>
    </w:p>
  </w:footnote>
  <w:footnote w:id="22">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as a replacement for the conductive minerals of the crystal detector (see</w:t>
      </w:r>
      <w:r>
        <w:t xml:space="preserve"> </w:t>
      </w:r>
      <w:r>
        <w:rPr>
          <w:b/>
        </w:rPr>
        <w:t xml:space="preserve">“</w:t>
      </w:r>
      <w:r>
        <w:rPr>
          <w:b/>
        </w:rPr>
        <w:t xml:space="preserve">A Treatise on Wireless Telegraphy</w:t>
      </w:r>
      <w:r>
        <w:rPr>
          <w:b/>
        </w:rP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appropriated (some would say</w:t>
      </w:r>
      <w:r>
        <w:t xml:space="preserve"> </w:t>
      </w:r>
      <w:r>
        <w:t xml:space="preserve">“</w:t>
      </w:r>
      <w:r>
        <w:t xml:space="preserve">stole</w:t>
      </w:r>
      <w:r>
        <w:t xml:space="preserve">”</w:t>
      </w:r>
      <w:r>
        <w:t xml:space="preserv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4">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H.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Harry Winfield Secor, “Radio Detector Development,”</w:t>
      </w:r>
      <w:r>
        <w:t xml:space="preserve"> </w:t>
      </w:r>
      <w:r>
        <w:rPr>
          <w:i/>
        </w:rPr>
        <w:t xml:space="preserve">Electrical Experimenter</w:t>
      </w:r>
      <w:r>
        <w:t xml:space="preserve">, 4, no. 9, (January 1917): 652–653, 680, 689–690</w:t>
      </w:r>
      <w:r>
        <w:t xml:space="preserve">.</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5"/>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26">
    <w:p>
      <w:pPr>
        <w:pStyle w:val="FootnoteText"/>
      </w:pPr>
      <w:r>
        <w:rPr>
          <w:rStyle w:val="FootnoteRef"/>
        </w:rPr>
        <w:footnoteRef/>
      </w:r>
      <w:r>
        <w:t xml:space="preserve">Named for its inventor—William Hyde Wollaston, the nineteenth-century British chemist known for the discovery of the elements palladium and rhonium—Wollaston Wire is an incredibly thin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FootnoteText"/>
      </w:pPr>
      <w:r>
        <w:t xml:space="preserve">See</w:t>
      </w:r>
      <w:r>
        <w:t xml:space="preserve"> </w:t>
      </w:r>
      <w:r>
        <w:t xml:space="preserve">Thomas H. Lee, “A Nonlinear History of Radio,” in</w:t>
      </w:r>
      <w:r>
        <w:t xml:space="preserve"> </w:t>
      </w:r>
      <w:r>
        <w:rPr>
          <w:i/>
        </w:rPr>
        <w:t xml:space="preserve">The Design of CMOS Radio-Frequency Integrated Circuits</w:t>
      </w:r>
      <w:r>
        <w:t xml:space="preserve">, (Cambridge University Press, 2004)</w:t>
      </w:r>
      <w:r>
        <w:t xml:space="preserve">;</w:t>
      </w:r>
      <w:r>
        <w:t xml:space="preserve"> </w:t>
      </w:r>
      <w:r>
        <w:t xml:space="preserve">“Wollaston Wire,”</w:t>
      </w:r>
      <w:r>
        <w:t xml:space="preserve"> </w:t>
      </w:r>
      <w:r>
        <w:rPr>
          <w:i/>
        </w:rPr>
        <w:t xml:space="preserve">Wikipedia, the Free Encyclopedia</w:t>
      </w:r>
      <w:r>
        <w:t xml:space="preserve">, July 2014,</w:t>
      </w:r>
      <w:r>
        <w:t xml:space="preserve"> </w:t>
      </w:r>
      <w:hyperlink r:id="rId27">
        <w:r>
          <w:rPr>
            <w:rStyle w:val="Link"/>
          </w:rPr>
          <w:t xml:space="preserve">http://en.wikipedia.org/w/index.php?title=Wollaston_wire&amp;oldid=585421689</w:t>
        </w:r>
      </w:hyperlink>
      <w:r>
        <w:t xml:space="preserve"/>
      </w:r>
      <w:r>
        <w:t xml:space="preserve">.</w:t>
      </w:r>
    </w:p>
  </w:footnote>
  <w:footnote w:id="29">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 in 2005:</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0">
    <w:p>
      <w:pPr>
        <w:pStyle w:val="FootnoteText"/>
      </w:pPr>
      <w:r>
        <w:rPr>
          <w:rStyle w:val="FootnoteRef"/>
        </w:rPr>
        <w:footnoteRef/>
      </w:r>
      <w:r>
        <w:t xml:space="preserve">This is a huge claim. De Forest’s Audion would soon replace all other forms of detector and revolutionize the way we listened to radio. But could this idea that the electrolytic detector could outperform the vacuum tube, a media historical path not taken, actually hold weight? While Gernsback would admit by 1919 that the Audion was a technically superior form of detector, he held out on the importance of other designs that more easily invited amateur experimentation. The Audion tube was a complex and expensive component (at least initially), one that heralded the coming of fully-assembled radio sets built for passive listening in living rooms across the country. Thus the divide between vacuum tubes and crystal or electrolytic detectors at the end of the 1910s was less about technical superiority and more about technical literacy. Gernsback writes in a retrospective 1919 editorial on the coming of the</w:t>
      </w:r>
      <w:r>
        <w:t xml:space="preserve"> </w:t>
      </w:r>
      <w:r>
        <w:t xml:space="preserve">“</w:t>
      </w:r>
      <w:r>
        <w:t xml:space="preserve">radio telephone</w:t>
      </w:r>
      <w:r>
        <w:t xml:space="preserve">”</w:t>
      </w:r>
      <w:r>
        <w:t xml:space="preserve">:</w:t>
      </w:r>
    </w:p>
    <w:p>
      <w:pPr>
        <w:pStyle w:val="BlockQuote"/>
        <w:pStyle w:val="FootnoteText"/>
      </w:pP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p>
    <w:p>
      <w:pPr>
        <w:pStyle w:val="FootnoteText"/>
      </w:pPr>
      <w:r>
        <w:t xml:space="preserve">Hugo Gernsback, “Developing the Radiophone,”</w:t>
      </w:r>
      <w:r>
        <w:t xml:space="preserve"> </w:t>
      </w:r>
      <w:r>
        <w:rPr>
          <w:i/>
        </w:rPr>
        <w:t xml:space="preserve">Radio Amateur News</w:t>
      </w:r>
      <w:r>
        <w:t xml:space="preserve">, 1, no. 6, (December 1919): 269</w:t>
      </w:r>
      <w:r>
        <w:t xml:space="preserve">.</w:t>
      </w:r>
    </w:p>
    <w:p>
      <w:pPr>
        <w:pStyle w:val="FootnoteText"/>
      </w:pPr>
      <w:r>
        <w:t xml:space="preserve">Readers continued, however, to be interested in crystal set designs well into the 1920s. See, for instance,</w:t>
      </w:r>
      <w:r>
        <w:t xml:space="preserve"> </w:t>
      </w:r>
      <w:r>
        <w:rPr>
          <w:b/>
        </w:rPr>
        <w:t xml:space="preserve">The Detectorium.</w:t>
      </w:r>
    </w:p>
  </w:footnote>
  <w:footnote w:id="32">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Hugo Gernsback,</w:t>
      </w:r>
      <w:r>
        <w:t xml:space="preserve"> </w:t>
      </w:r>
      <w:r>
        <w:rPr>
          <w:i/>
        </w:rPr>
        <w:t xml:space="preserve">Radio for All</w:t>
      </w:r>
      <w:r>
        <w:t xml:space="preserve">, (Philadelphia: J.B. Lippincott Company, 1922)</w:t>
      </w:r>
      <w:r>
        <w:t xml:space="preserve">, 58.</w:t>
      </w:r>
    </w:p>
    <w:p>
      <w:pPr>
        <w:pStyle w:val="FootnoteText"/>
      </w:pPr>
      <w:r>
        <w:drawing>
          <wp:inline>
            <wp:extent cx="22466300" cy="126873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3"/>
                    <a:stretch>
                      <a:fillRect/>
                    </a:stretch>
                  </pic:blipFill>
                  <pic:spPr bwMode="auto">
                    <a:xfrm>
                      <a:off x="0" y="0"/>
                      <a:ext cx="22466300" cy="12687300"/>
                    </a:xfrm>
                    <a:prstGeom prst="rect">
                      <a:avLst/>
                    </a:prstGeom>
                    <a:noFill/>
                    <a:ln w="9525">
                      <a:noFill/>
                      <a:headEnd/>
                      <a:tailEnd/>
                    </a:ln>
                  </pic:spPr>
                </pic:pic>
              </a:graphicData>
            </a:graphic>
          </wp:inline>
        </w:drawing>
      </w:r>
      <w:r>
        <w:t xml:space="preserve"> </w:t>
      </w:r>
    </w:p>
  </w:footnote>
  <w:footnote w:id="35">
    <w:p>
      <w:pPr>
        <w:pStyle w:val="FootnoteText"/>
      </w:pPr>
      <w:r>
        <w:rPr>
          <w:rStyle w:val="FootnoteRef"/>
        </w:rPr>
        <w:footnoteRef/>
      </w:r>
      <w:r>
        <w:t xml:space="preserve">Not only did Édouard Branly discover the effect of heat on a coherer in the 1890s, he was the first to describe and publish on its operation. See</w:t>
      </w:r>
      <w:r>
        <w:t xml:space="preserve"> </w:t>
      </w:r>
      <w:r>
        <w:rPr>
          <w:b/>
        </w:rPr>
        <w:t xml:space="preserve">The Dynamophone</w:t>
      </w:r>
      <w:r>
        <w:t xml:space="preserve"> </w:t>
      </w:r>
      <w:r>
        <w:t xml:space="preserve">for more about coherers.</w:t>
      </w:r>
    </w:p>
  </w:footnote>
</w:footnotes>
</file>

<file path=word/numbering.xml><?xml version="1.0" encoding="utf-8"?>
<w:numbering xmlns:w="http://schemas.openxmlformats.org/wordprocessingml/2006/main">
  <w:abstractNum w:abstractNumId="0">
    <w:nsid w:val="6db7ec2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hyperlink" Id="rId27" Target="http://en.wikipedia.org/w/index.php?title=Wollaston_wire&amp;oldid=585421689" TargetMode="External" /></Relationships>
</file>

<file path=word/_rels/footnotes.xml.rels><?xml version="1.0" encoding="UTF-8"?>
<Relationships xmlns="http://schemas.openxmlformats.org/package/2006/relationships"><Relationship Type="http://schemas.openxmlformats.org/officeDocument/2006/relationships/hyperlink" Id="rId27" Target="http://en.wikipedia.org/w/index.php?title=Wollaston_wire&amp;oldid=585421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