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1.png" ContentType="image/png"/>
  <Override PartName="/word/media/rId34.png" ContentType="image/png"/>
  <Override PartName="/word/media/rId38.png" ContentType="image/png"/>
  <Override PartName="/word/media/rId40.png" ContentType="image/png"/>
  <Override PartName="/word/media/rId41.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glass.[^4]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1"/>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2"/>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3"/>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4"/>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5"/>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7"/>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8"/>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39"/>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0"/>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41"/>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which replaced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Frequent Gernsback contributor 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 </w:t>
      </w:r>
      <w:hyperlink r:id="rId28">
        <w:r>
          <w:rPr>
            <w:rStyle w:val="Link"/>
          </w:rPr>
          <w:t xml:space="preserve">http://earlyradiohistory.us/1917de.htm</w:t>
        </w:r>
      </w:hyperlink>
      <w:r>
        <w:t xml:space="preserve"/>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p>
  </w:footnote>
  <w:footnote w:id="32">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3">
    <w:p>
      <w:pPr>
        <w:pStyle w:val="FootnoteText"/>
      </w:pPr>
      <w:r>
        <w:rPr>
          <w:rStyle w:val="FootnoteRef"/>
        </w:rPr>
        <w:footnoteRef/>
      </w:r>
      <w:r>
        <w:t xml:space="preserve">This is a huge claim. De Forest’s Audion would soon replace all other forms of detector and revolutionize the way we listened to radio. But could this claim of the electrolytic detector outperforming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(early on) an expensive component, one that heralded the coming of fully-assembled radio sets built for passive listening in living rooms. Thus the divide between vacuum tubes and crystal or electrolytic detectors at the end of the decade was less about technical superiority and more about technical literacy. Gernsback writes in a retrospective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footnote>
  <w:footnote w:id="35">
    <w:p>
      <w:pPr>
        <w:pStyle w:val="FootnoteText"/>
      </w:pPr>
      <w:r>
        <w:rPr>
          <w:rStyle w:val="FootnoteRef"/>
        </w:rPr>
        <w:footnoteRef/>
      </w:r>
      <w:r>
        <w:t xml:space="preserve">|</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6"/>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7">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footnote>
  <w:footnote w:id="39">
    <w:p>
      <w:pPr>
        <w:pStyle w:val="FootnoteText"/>
      </w:pPr>
      <w:r>
        <w:rPr>
          <w:rStyle w:val="FootnoteRef"/>
        </w:rPr>
        <w:footnoteRef/>
      </w:r>
      <w:r>
        <w:t xml:space="preserve">Not only did Édouard Branly discover the effect of heat on a coherer, he was the first to describe and publish on its operation. See</w:t>
      </w:r>
      <w:r>
        <w:t xml:space="preserve"> </w:t>
      </w:r>
      <w:r>
        <w:rPr>
          <w:b/>
        </w:rPr>
        <w:t xml:space="preserve">“</w:t>
      </w:r>
      <w:r>
        <w:rPr>
          <w:b/>
        </w:rPr>
        <w:t xml:space="preserve">The Dynamophone.</w:t>
      </w:r>
      <w:r>
        <w:rPr>
          <w:b/>
        </w:rPr>
        <w:t xml:space="preserve">”</w:t>
      </w:r>
    </w:p>
  </w:footnote>
</w:footnotes>
</file>

<file path=word/numbering.xml><?xml version="1.0" encoding="utf-8"?>
<w:numbering xmlns:w="http://schemas.openxmlformats.org/wordprocessingml/2006/main">
  <w:abstractNum w:abstractNumId="0">
    <w:nsid w:val="6c59c6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41b745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