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ayville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5"/>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6"/>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8"/>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9"/>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30"/>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6">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through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r>
        <w:t xml:space="preserve"> </w:t>
      </w:r>
      <w:r>
        <w:t xml:space="preserve">“</w:t>
      </w:r>
      <w:r>
        <w:t xml:space="preserve">Meanwhile, the part played by the magazine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r>
        <w:t xml:space="preserve">”</w:t>
      </w:r>
      <w:r>
        <w:t xml:space="preserve"> </w:t>
      </w: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7">
        <w:r>
          <w:rPr>
            <w:rStyle w:val="Link"/>
          </w:rPr>
          <w:t xml:space="preserve">http://theappendix.net/issues/2014/7/the-invention-of-wireless-cryptography</w:t>
        </w:r>
      </w:hyperlink>
      <w:r>
        <w:t xml:space="preserve"/>
      </w:r>
      <w:r>
        <w:t xml:space="preserve">.</w:t>
      </w:r>
    </w:p>
  </w:footnote>
  <w:footnote w:id="28">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9">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Gernsback,</w:t>
      </w:r>
      <w:r>
        <w:t xml:space="preserve"> </w:t>
      </w:r>
      <w:r>
        <w:t xml:space="preserve">“</w:t>
      </w:r>
      <w:r>
        <w:t xml:space="preserve">The Case of Luxembourg,</w:t>
      </w:r>
      <w:r>
        <w:t xml:space="preserve">”</w:t>
      </w:r>
      <w:r>
        <w:t xml:space="preserve"> </w:t>
      </w:r>
      <w:r>
        <w:rPr>
          <w:i/>
        </w:rPr>
        <w:t xml:space="preserve">The Chicago American</w:t>
      </w:r>
      <w:r>
        <w:t xml:space="preserve">,</w:t>
      </w:r>
      <w:r>
        <w:t xml:space="preserve"> </w:t>
      </w:r>
      <w:r>
        <w:t xml:space="preserve">Hugo Gernsback, “The Case of Luxembourg,”</w:t>
      </w:r>
      <w:r>
        <w:t xml:space="preserve"> </w:t>
      </w:r>
      <w:r>
        <w:rPr>
          <w:i/>
        </w:rPr>
        <w:t xml:space="preserve">The Chicago American</w:t>
      </w:r>
      <w:r>
        <w:t xml:space="preserve">, (March 1918)</w:t>
      </w:r>
      <w:r>
        <w:t xml:space="preserv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30">
    <w:p>
      <w:pPr>
        <w:pStyle w:val="FootnoteText"/>
      </w:pPr>
      <w:r>
        <w:rPr>
          <w:rStyle w:val="FootnoteRef"/>
        </w:rPr>
        <w:footnoteRef/>
      </w:r>
      <w:r>
        <w:t xml:space="preserve">The large station in Nauen, Germany was the origin point for the cryptographic relayed through Sayville. Its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11d1b3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