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4"/>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5"/>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6"/>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7"/>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Sayville, New York is located on Long Island. Tuckerton, New Jersey is on the south-eastern Jersey shore, just north of Atlantic City.</w:t>
      </w:r>
    </w:p>
  </w:footnote>
  <w:footnote w:id="25">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Apgar presented these recordings of covert German transmissions to the Navy, which precipitated the closing of Sayville and a law banning all amateur wireless activity. Both a model of the value of the amateur wireless tinkerer and the cause of the entire amateur community’s work being put in jeopardy, Apgar was a divisive figure.</w:t>
      </w:r>
      <w:r>
        <w:t xml:space="preserve"> </w:t>
      </w:r>
      <w:r>
        <w:t xml:space="preserve">“</w:t>
      </w:r>
      <w:r>
        <w:t xml:space="preserve">Meanwhile, the part played by the magazine aroused sharp resentment from the old Sayville officials. Dr. K. G. Frank, head of the station, wrote a bitter letter to the editor, the point of which was a little blunted by the fact that by the time it was printed, the Government had already closed Sayville. Dr. Frank, incidentally, was later convicted as a German Intelligence agent.</w:t>
      </w:r>
      <w:r>
        <w:t xml:space="preserve">”</w:t>
      </w:r>
      <w:r>
        <w:t xml:space="preserve"> </w:t>
      </w:r>
      <w:r>
        <w:t xml:space="preserve">T.R. Kennedy, Jr.,</w:t>
      </w:r>
      <w:r>
        <w:t xml:space="preserve"> </w:t>
      </w:r>
      <w:r>
        <w:t xml:space="preserve">“</w:t>
      </w:r>
      <w:r>
        <w:t xml:space="preserve">From Coherer to Spacistor,</w:t>
      </w:r>
      <w:r>
        <w:t xml:space="preserve">”</w:t>
      </w:r>
      <w:r>
        <w:t xml:space="preserve"> </w:t>
      </w:r>
      <w:r>
        <w:rPr>
          <w:i/>
        </w:rPr>
        <w:t xml:space="preserve">Radio-Electronics</w:t>
      </w:r>
      <w:r>
        <w:t xml:space="preserve"> </w:t>
      </w:r>
      <w:r>
        <w:t xml:space="preserve">vol. 29, no. 4 (April 1958), 45-59.</w:t>
      </w:r>
    </w:p>
  </w:footnote>
  <w:footnote w:id="26">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article is a feature detailing precisely how submarines send wireless messages from the depths.</w:t>
      </w:r>
    </w:p>
  </w:footnote>
  <w:footnote w:id="27">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of Luxembourg in stemming the aggression of Germany, which invaded Luxembourg in 1914.</w:t>
      </w:r>
      <w:r>
        <w:t xml:space="preserve"> </w:t>
      </w:r>
      <w:r>
        <w:t xml:space="preserve">“</w:t>
      </w: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r>
        <w:t xml:space="preserve">”</w:t>
      </w:r>
      <w:r>
        <w:t xml:space="preserve"> </w:t>
      </w:r>
      <w:r>
        <w:t xml:space="preserve">Gernsback,</w:t>
      </w:r>
      <w:r>
        <w:t xml:space="preserve"> </w:t>
      </w:r>
      <w:r>
        <w:t xml:space="preserve">“</w:t>
      </w:r>
      <w:r>
        <w:t xml:space="preserve">The Case of Luxembourg,</w:t>
      </w:r>
      <w:r>
        <w:t xml:space="preserve">”</w:t>
      </w:r>
      <w:r>
        <w:t xml:space="preserve"> </w:t>
      </w:r>
      <w:r>
        <w:rPr>
          <w:i/>
        </w:rPr>
        <w:t xml:space="preserve">The Chicago American</w:t>
      </w:r>
      <w:r>
        <w:t xml:space="preserve">, March 7, 1918. 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w:t>
      </w:r>
      <w:r>
        <w:t xml:space="preserve">(Mersch: Centre National de Littérature: 2010), 18.</w:t>
      </w:r>
    </w:p>
  </w:footnote>
</w:footnotes>
</file>

<file path=word/numbering.xml><?xml version="1.0" encoding="utf-8"?>
<w:numbering xmlns:w="http://schemas.openxmlformats.org/wordprocessingml/2006/main">
  <w:abstractNum w:abstractNumId="0">
    <w:nsid w:val="a27314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508_sayville.html"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08_sayville.html"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