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4</w:t>
      </w:r>
    </w:p>
    <w:p>
      <w:pPr>
        <w:pStyle w:val="Date"/>
      </w:pPr>
      <w:r>
        <w:t xml:space="preserve">August</w:t>
      </w:r>
      <w:r>
        <w:t xml:space="preserve"> </w:t>
      </w:r>
      <w:r>
        <w:t xml:space="preserve">1915</w:t>
      </w:r>
    </w:p>
    <w:p>
      <w:r>
        <w:t xml:space="preserve">](images/sayville_cover.jpg)</w: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1"/>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2"/>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4"/>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5"/>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26"/>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2">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3">
        <w:r>
          <w:rPr>
            <w:rStyle w:val="Link"/>
          </w:rPr>
          <w:t xml:space="preserve">http://theappendix.net/issues/2014/7/the-invention-of-wireless-cryptography</w:t>
        </w:r>
      </w:hyperlink>
      <w:r>
        <w:t xml:space="preserve"/>
      </w:r>
      <w:r>
        <w:t xml:space="preserve">.</w:t>
      </w:r>
    </w:p>
  </w:footnote>
  <w:footnote w:id="24">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5">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26">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774c90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theappendix.net/issues/2014/7/the-invention-of-wireless-cryptography" TargetMode="External" /></Relationships>
</file>

<file path=word/_rels/footnotes.xml.rels><?xml version="1.0" encoding="UTF-8"?>
<Relationships xmlns="http://schemas.openxmlformats.org/package/2006/relationships"><Relationship Type="http://schemas.openxmlformats.org/officeDocument/2006/relationships/hyperlink" Id="rId23" Target="http://theappendix.net/issues/2014/7/the-invention-of-wireless-crypt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The Electrical Experimenter, vol. 3 no. 4</dc:creator>
</cp:coreProperties>
</file>