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w:t>
      </w:r>
      <w:r>
        <w:rPr>
          <w:rStyle w:val="FootnoteRef"/>
        </w:rPr>
        <w:footnoteReference w:id="28"/>
      </w:r>
      <w:r>
        <w:t xml:space="preserve"> </w:t>
      </w:r>
      <w:r>
        <w:t xml:space="preserve">(The bluestone image, after months of constant use, will acquire a likeness to William Jennings Bryan.) 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 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As Gary Westfahl has noted, Gernsback was a historian of science fiction as well as a founder of the genre, referring to H.G. Wells, Edgar Allan Poe, Jules Verne and the lesser known Luis Senarens in some of his first editorials for</w:t>
      </w:r>
      <w:r>
        <w:t xml:space="preserve"> </w:t>
      </w:r>
      <w:r>
        <w:rPr>
          <w:i/>
        </w:rPr>
        <w:t xml:space="preserve">Amazing Stories.</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29">
        <w:r>
          <w:rPr>
            <w:rStyle w:val="Link"/>
          </w:rPr>
          <w:t xml:space="preserve">http://www.jstor.org/stable/4240181</w:t>
        </w:r>
      </w:hyperlink>
      <w:r>
        <w:t xml:space="preserve"/>
      </w:r>
      <w:r>
        <w:t xml:space="preserve">. The fact that this spoof depicts an insatiable reader holding a copy of</w:t>
      </w:r>
      <w:r>
        <w:t xml:space="preserve"> </w:t>
      </w:r>
      <w:r>
        <w:rPr>
          <w:i/>
        </w:rPr>
        <w:t xml:space="preserve">Deadwood Dick</w:t>
      </w:r>
      <w:r>
        <w:t xml:space="preserve"> </w:t>
      </w:r>
      <w:r>
        <w:t xml:space="preserve">suggests that Gernsback and his staff were aware of an even broader tradition upon which they built.</w:t>
      </w:r>
    </w:p>
    <w:p>
      <w:pPr>
        <w:pStyle w:val="FootnoteText"/>
      </w:pPr>
      <w:r>
        <w:rPr>
          <w:i/>
        </w:rPr>
        <w:t xml:space="preserve">Deadwood Dick</w:t>
      </w:r>
      <w:r>
        <w:t xml:space="preserve"> </w:t>
      </w:r>
      <w:r>
        <w:t xml:space="preserve">was a series of dime novel westerns written by Edward L. Wheeler from 1877-1885, with the character living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0">
        <w:r>
          <w:rPr>
            <w:rStyle w:val="Link"/>
          </w:rPr>
          <w:t xml:space="preserve">http://www.ulib.niu.edu/badndp/</w:t>
        </w:r>
      </w:hyperlink>
      <w:r>
        <w:t xml:space="preserve">. 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Compact"/>
        <w:pStyle w:val="FootnoteText"/>
        <w:numPr>
          <w:numId w:val="2"/>
          <w:ilvl w:val="0"/>
        </w:numPr>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Compact"/>
        <w:pStyle w:val="FootnoteText"/>
        <w:numPr>
          <w:numId w:val="3"/>
          <w:ilvl w:val="0"/>
        </w:numPr>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George C. Jencks, “Dime Novel Makers,”</w:t>
      </w:r>
      <w:r>
        <w:t xml:space="preserve"> </w:t>
      </w:r>
      <w:r>
        <w:rPr>
          <w:i/>
        </w:rPr>
        <w:t xml:space="preserve">The Bookman</w:t>
      </w:r>
      <w:r>
        <w:t xml:space="preserve">, 20, (October 1904)</w:t>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1"/>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732b70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1f96e4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135f5d8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