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4"/>
                    <a:stretch>
                      <a:fillRect/>
                    </a:stretch>
                  </pic:blipFill>
                  <pic:spPr bwMode="auto">
                    <a:xfrm>
                      <a:off x="0" y="0"/>
                      <a:ext cx="7645400" cy="9525000"/>
                    </a:xfrm>
                    <a:prstGeom prst="rect">
                      <a:avLst/>
                    </a:prstGeom>
                    <a:noFill/>
                    <a:ln w="9525">
                      <a:noFill/>
                      <a:headEnd/>
                      <a:tailEnd/>
                    </a:ln>
                  </pic:spPr>
                </pic:pic>
              </a:graphicData>
            </a:graphic>
          </wp:inline>
        </w:drawing>
      </w:r>
    </w:p>
    <w:bookmarkStart w:id="25" w:name="no.-umsteen-hundred-and-forty-leven"/>
    <w:p>
      <w:pPr>
        <w:pStyle w:val="Heading2"/>
      </w:pPr>
      <w:r>
        <w:t xml:space="preserve">No. Umsteen hundred and forty ’leven</w:t>
      </w:r>
    </w:p>
    <w:bookmarkEnd w:id="25"/>
    <w:bookmarkStart w:id="26" w:name="pat.-applied-for-10-minutes-fore-lunch."/>
    <w:p>
      <w:pPr>
        <w:pStyle w:val="Heading2"/>
      </w:pPr>
      <w:r>
        <w:t xml:space="preserve">Pat. applied for 10 minutes ’fore lunch.</w:t>
      </w:r>
    </w:p>
    <w:bookmarkEnd w:id="26"/>
    <w:bookmarkStart w:id="27" w:name="specification-of-phoney-patentapplication-sandpapered-september-the-tooth"/>
    <w:p>
      <w:pPr>
        <w:pStyle w:val="Heading2"/>
      </w:pPr>
      <w:r>
        <w:t xml:space="preserve">Specification of Phoney Patent—Application Sandpapered September the Tooth</w:t>
      </w:r>
    </w:p>
    <w:bookmarkEnd w:id="27"/>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w:t>
      </w:r>
      <w:r>
        <w:rPr>
          <w:rStyle w:val="FootnoteRef"/>
        </w:rPr>
        <w:footnoteReference w:id="28"/>
      </w:r>
      <w:r>
        <w:t xml:space="preserve"> </w:t>
      </w:r>
      <w:r>
        <w:t xml:space="preserve">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w:t>
      </w:r>
      <w:r>
        <w:rPr>
          <w:rStyle w:val="FootnoteRef"/>
        </w:rPr>
        <w:footnoteReference w:id="29"/>
      </w:r>
      <w:r>
        <w:t xml:space="preserve"> </w:t>
      </w:r>
      <w:r>
        <w:t xml:space="preserve">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That a sculpture of Theodore Roosevelt out of electrically conductive sandstone might melt into the likeness of William Jennings Bryan when exposed to the rain is probably a dig at the latter, who had recently resigned from his position as United States Secretary of State due to his opposition to American entry into World War I after the sinking of the Lusitania.</w:t>
      </w:r>
    </w:p>
  </w:footnote>
  <w:footnote w:id="29">
    <w:p>
      <w:pPr>
        <w:pStyle w:val="FootnoteText"/>
      </w:pPr>
      <w:r>
        <w:rPr>
          <w:rStyle w:val="FootnoteRef"/>
        </w:rPr>
        <w:footnoteRef/>
      </w:r>
      <w:r>
        <w:t xml:space="preserve">The addicted reader shown here wearing the bookworm apparatus is holding a copy of the popular nineteenth-century dime novel series</w:t>
      </w:r>
      <w:r>
        <w:t xml:space="preserve"> </w:t>
      </w:r>
      <w:r>
        <w:rPr>
          <w:i/>
        </w:rPr>
        <w:t xml:space="preserve">Deadwood Dick</w:t>
      </w:r>
      <w:r>
        <w:t xml:space="preserve"> </w:t>
      </w:r>
      <w:r>
        <w:t xml:space="preserve">(1877-1897), authored primarily by Edward L. Wheeler (1854-1886). This nod by Gernsback and his staff to the popular print tradition upon which they built is fitting, as Wheeler was unique among dime novel authors in his direct appeal to the reader, according to Christine Bold. This would make his stories especially seductive for hungry bookworms:</w:t>
      </w:r>
    </w:p>
    <w:p>
      <w:pPr>
        <w:pStyle w:val="BlockQuote"/>
        <w:pStyle w:val="FootnoteText"/>
      </w:pPr>
      <w:r>
        <w:t xml:space="preserve">In his work, the characters take over all the authorial functions: they invent their own stories, they acknowledge the conventions of their existence and they recognize, finally, that these conventions derive drectly from the commercial contract.</w:t>
      </w:r>
    </w:p>
    <w:p>
      <w:pPr>
        <w:pStyle w:val="FootnoteText"/>
      </w:pPr>
      <w:r>
        <w:t xml:space="preserve">Christine Bold, “The Voice of the Fiction Factory in Dime and Pulp Westerns,”</w:t>
      </w:r>
      <w:r>
        <w:t xml:space="preserve"> </w:t>
      </w:r>
      <w:r>
        <w:rPr>
          <w:i/>
        </w:rPr>
        <w:t xml:space="preserve">Journal of American Studies</w:t>
      </w:r>
      <w:r>
        <w:t xml:space="preserve">, 17, no. 1, (April 1983): 29–46,</w:t>
      </w:r>
      <w:r>
        <w:t xml:space="preserve"> </w:t>
      </w:r>
      <w:hyperlink r:id="rId30">
        <w:r>
          <w:rPr>
            <w:rStyle w:val="Link"/>
          </w:rPr>
          <w:t xml:space="preserve">http://www.jstor.org/stable/27554256</w:t>
        </w:r>
      </w:hyperlink>
      <w:r>
        <w:t xml:space="preserve"/>
      </w:r>
      <w:r>
        <w:t xml:space="preserve">.</w:t>
      </w:r>
    </w:p>
    <w:p>
      <w:pPr>
        <w:pStyle w:val="FootnoteText"/>
      </w:pPr>
      <w:r>
        <w:t xml:space="preserve">Bold cites</w:t>
      </w:r>
      <w:r>
        <w:t xml:space="preserve"> </w:t>
      </w:r>
      <w:r>
        <w:rPr>
          <w:i/>
        </w:rPr>
        <w:t xml:space="preserve">Deadwood Dick as Detective</w:t>
      </w:r>
      <w:r>
        <w:t xml:space="preserve"> </w:t>
      </w:r>
      <w:r>
        <w:t xml:space="preserve">(1879) in particular:</w:t>
      </w:r>
    </w:p>
    <w:p>
      <w:pPr>
        <w:pStyle w:val="BlockQuote"/>
        <w:pStyle w:val="FootnoteText"/>
      </w:pPr>
      <w:r>
        <w:t xml:space="preserve">Fear not that man, for in your hour of need Deadwood Dick is on deck. When you least dream of it, he is lurking near, watching for your welfare, with a brother’s care, and removing such obstacles as will be apt to trip you and throw you into the power of enemies.</w:t>
      </w:r>
    </w:p>
  </w:footnote>
</w:footnotes>
</file>

<file path=word/numbering.xml><?xml version="1.0" encoding="utf-8"?>
<w:numbering xmlns:w="http://schemas.openxmlformats.org/wordprocessingml/2006/main">
  <w:abstractNum w:abstractNumId="0">
    <w:nsid w:val="bb328f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511_bookworm.html" TargetMode="External" /><Relationship Type="http://schemas.openxmlformats.org/officeDocument/2006/relationships/hyperlink" Id="rId30" Target="http://www.jstor.org/stable/27554256"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11_bookworm.html" TargetMode="External" /><Relationship Type="http://schemas.openxmlformats.org/officeDocument/2006/relationships/hyperlink" Id="rId30" Target="http://www.jstor.org/stable/27554256"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