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r>
        <w:rPr>
          <w:rStyle w:val="FootnoteRef"/>
        </w:rPr>
        <w:footnoteReference w:id="24"/>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5"/>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For more on these failed companies, see</w:t>
      </w:r>
      <w:r>
        <w:t xml:space="preserve"> </w:t>
      </w:r>
      <w:r>
        <w:rPr>
          <w:b/>
        </w:rPr>
        <w:t xml:space="preserve">The Born and the Mechanical Inventor.</w:t>
      </w:r>
    </w:p>
  </w:footnote>
  <w:footnote w:id="25">
    <w:p>
      <w:pPr>
        <w:pStyle w:val="FootnoteText"/>
      </w:pPr>
      <w:r>
        <w:rPr>
          <w:rStyle w:val="FootnoteRef"/>
        </w:rPr>
        <w:footnoteRef/>
      </w:r>
      <w:r>
        <w:t xml:space="preserve">Theodore Newton Vail (1845-1920) presents a good example of the translatability of technical expertise across numerous fields during the period.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6">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7">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ad0da7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