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Mirrors later solicitation of</w:t>
      </w:r>
      <w:r>
        <w:t xml:space="preserve"> </w:t>
      </w:r>
      <w:r>
        <w:t xml:space="preserve">“</w:t>
      </w:r>
      <w:r>
        <w:t xml:space="preserve">plots</w:t>
      </w:r>
      <w:r>
        <w:t xml:space="preserve">”</w:t>
      </w:r>
      <w:r>
        <w:t xml:space="preserve"> </w:t>
      </w:r>
      <w:r>
        <w:t xml:space="preserve">in</w:t>
      </w:r>
      <w:r>
        <w:t xml:space="preserve"> </w:t>
      </w:r>
      <w:r>
        <w:rPr>
          <w:i/>
        </w:rPr>
        <w:t xml:space="preserve">Science Wonder Stories</w:t>
      </w:r>
      <w:r>
        <w:t xml:space="preserve">, v3n2 Summer 1932, for instance. Asking for ideas, be they machines or stories.</w:t>
      </w:r>
    </w:p>
  </w:footnote>
</w:footnotes>
</file>

<file path=word/numbering.xml><?xml version="1.0" encoding="utf-8"?>
<w:numbering xmlns:w="http://schemas.openxmlformats.org/wordprocessingml/2006/main">
  <w:abstractNum w:abstractNumId="0">
    <w:nsid w:val="aba48a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