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 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6"/>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r>
        <w:rPr>
          <w:rStyle w:val="FootnoteRef"/>
        </w:rPr>
        <w:footnoteReference w:id="27"/>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Once he transitioned to publishing fiction magazines exclusively, Gernsback would began to solicit</w:t>
      </w:r>
      <w:r>
        <w:t xml:space="preserve"> </w:t>
      </w:r>
      <w:r>
        <w:t xml:space="preserve">“</w:t>
      </w:r>
      <w:r>
        <w:t xml:space="preserve">plots</w:t>
      </w:r>
      <w:r>
        <w:t xml:space="preserve">”</w:t>
      </w:r>
      <w:r>
        <w:t xml:space="preserve"> </w:t>
      </w:r>
      <w:r>
        <w:t xml:space="preserve">from his readers instead of inventions. In the November 1929 issue of</w:t>
      </w:r>
      <w:r>
        <w:t xml:space="preserve"> </w:t>
      </w:r>
      <w:r>
        <w:rPr>
          <w:i/>
        </w:rPr>
        <w:t xml:space="preserve">Science Wonder Stories</w:t>
      </w:r>
      <w:r>
        <w:t xml:space="preserve"> </w:t>
      </w:r>
      <w:r>
        <w:t xml:space="preserve">for instance, he offers a prize of $150 in gold for story treatments:</w:t>
      </w:r>
      <w:r>
        <w:t xml:space="preserve"> </w:t>
      </w:r>
      <w:r>
        <w:t xml:space="preserve">“</w:t>
      </w:r>
      <w:r>
        <w:t xml:space="preserve">…the more interesting, the more exciting, and</w:t>
      </w:r>
      <w:r>
        <w:t xml:space="preserve"> </w:t>
      </w:r>
      <w:r>
        <w:rPr>
          <w:i/>
        </w:rPr>
        <w:t xml:space="preserve">the more scientifically probable</w:t>
      </w:r>
      <w:r>
        <w:t xml:space="preserve"> </w:t>
      </w:r>
      <w:r>
        <w:t xml:space="preserve">you can make it, the better. Remember,</w:t>
      </w:r>
      <w:r>
        <w:t xml:space="preserve"> </w:t>
      </w:r>
      <w:r>
        <w:rPr>
          <w:i/>
        </w:rPr>
        <w:t xml:space="preserve">anyone</w:t>
      </w:r>
      <w:r>
        <w:t xml:space="preserve"> </w:t>
      </w:r>
      <w:r>
        <w:t xml:space="preserve">can participate in this contest</w:t>
      </w:r>
      <w:r>
        <w:t xml:space="preserve">”</w:t>
      </w:r>
      <w:r>
        <w:t xml:space="preserve"> </w:t>
      </w:r>
      <w:r>
        <w:t xml:space="preserve">(485).</w:t>
      </w:r>
    </w:p>
  </w:footnote>
  <w:footnote w:id="27">
    <w:p>
      <w:pPr>
        <w:pStyle w:val="FootnoteText"/>
      </w:pPr>
      <w:r>
        <w:rPr>
          <w:rStyle w:val="FootnoteRef"/>
        </w:rPr>
        <w:footnoteRef/>
      </w:r>
      <w:r>
        <w:t xml:space="preserve">Bakelite, one of the earliest synthetic plastics (patented in 1909), would take on the function Gernsback calls for here. The material became the default for radio cabinet and knob construction by the 1930s, allowing for ever more unique designs in radio sets, especially portable sets. According to Michael Schiffer, the 1932 International Kadette Convertibles Midget was</w:t>
      </w:r>
      <w:r>
        <w:t xml:space="preserve"> </w:t>
      </w:r>
      <w:r>
        <w:t xml:space="preserve">“</w:t>
      </w:r>
      <w:r>
        <w:t xml:space="preserve">the first small radio with a Bakelite (plastic) cabinet to be produced in large quantities.</w:t>
      </w:r>
      <w:r>
        <w:t xml:space="preserve">”</w:t>
      </w:r>
      <w:r>
        <w:t xml:space="preserve"> </w:t>
      </w:r>
      <w:r>
        <w:t xml:space="preserve">Michael B. Schiffer,</w:t>
      </w:r>
      <w:r>
        <w:t xml:space="preserve"> </w:t>
      </w:r>
      <w:r>
        <w:rPr>
          <w:i/>
        </w:rPr>
        <w:t xml:space="preserve">The Portable Radio in American Life</w:t>
      </w:r>
      <w:r>
        <w:t xml:space="preserve">, (University of Arizona Press, 1991)</w:t>
      </w:r>
      <w:r>
        <w:t xml:space="preserve">, 110.</w:t>
      </w:r>
    </w:p>
  </w:footnote>
</w:footnotes>
</file>

<file path=word/numbering.xml><?xml version="1.0" encoding="utf-8"?>
<w:numbering xmlns:w="http://schemas.openxmlformats.org/wordprocessingml/2006/main">
  <w:abstractNum w:abstractNumId="0">
    <w:nsid w:val="eb211e8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