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4"/>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5"/>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Samuel Smiles, ed.,</w:t>
      </w:r>
      <w:r>
        <w:t xml:space="preserve"> </w:t>
      </w:r>
      <w:r>
        <w:rPr>
          <w:i/>
        </w:rPr>
        <w:t xml:space="preserve">James Nasmyth, Engineer: An Autobiography</w:t>
      </w:r>
      <w:r>
        <w:t xml:space="preserve"> </w:t>
      </w:r>
      <w:r>
        <w:t xml:space="preserve">(New York: Harper, 1883), 99-100. Quoted in</w:t>
      </w:r>
      <w:r>
        <w:t xml:space="preserve"> </w:t>
      </w:r>
      <w:r>
        <w:rPr>
          <w:i/>
        </w:rPr>
        <w:t xml:space="preserve">The Mindful Hand: Inquiry and Invention From the Late Renaissance to Early Industrialization</w:t>
      </w:r>
      <w:r>
        <w:t xml:space="preserve">, (Amsterdam: Koninklijke Nederlandse Akademie van Wetenschappen, 2007), 309.</w:t>
      </w:r>
    </w:p>
  </w:footnote>
</w:footnotes>
</file>

<file path=word/numbering.xml><?xml version="1.0" encoding="utf-8"?>
<w:numbering xmlns:w="http://schemas.openxmlformats.org/wordprocessingml/2006/main">
  <w:abstractNum w:abstractNumId="0">
    <w:nsid w:val="d412bc0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