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r>
        <w:rPr>
          <w:rStyle w:val="FootnoteRef"/>
        </w:rPr>
        <w:footnoteReference w:id="24"/>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5"/>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6"/>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anthropologist Tim Ingold distinguishes between the properties and the qualities of materials in his essay on the importance of attending to</w:t>
      </w:r>
      <w:r>
        <w:t xml:space="preserve"> </w:t>
      </w:r>
      <w:r>
        <w:t xml:space="preserve">“</w:t>
      </w:r>
      <w:r>
        <w:t xml:space="preserve">the stuff things are made of</w:t>
      </w:r>
      <w:r>
        <w:t xml:space="preserve">”</w:t>
      </w:r>
      <w:r>
        <w:t xml:space="preserve"> </w:t>
      </w:r>
      <w:r>
        <w:t xml:space="preserve">in studies of material culture. Similar to Gernsback’s observation here, the properties of things are objective while the qualities are a matter of subjective perception.</w:t>
      </w:r>
    </w:p>
    <w:p>
      <w:pPr>
        <w:pStyle w:val="BlockQuote"/>
        <w:pStyle w:val="FootnoteText"/>
      </w:pPr>
      <w:r>
        <w:t xml:space="preserve">If, as I have suggested, we are to redirect our attention from the materiality of objects to the properties of materials, then we are left with the question: what are these properties? How should we talk about them? One approach to answering this question has been proposed by the theorist of design, David Pye. His concern is to examine the idea that every material has inherent properties that can be either expressed or suppressed in use. This idea is frequently enunciated by sculptors and craftspeople who assert that good workmanship should be</w:t>
      </w:r>
      <w:r>
        <w:t xml:space="preserve"> </w:t>
      </w:r>
      <w:r>
        <w:t xml:space="preserve">‘</w:t>
      </w:r>
      <w:r>
        <w:t xml:space="preserve">true to the material</w:t>
      </w:r>
      <w:r>
        <w:t xml:space="preserve">’</w:t>
      </w:r>
      <w:r>
        <w:t xml:space="preserve">, respecting its properties rather than riding roughshod over them. … Pye argues that it is not really the</w:t>
      </w:r>
      <w:r>
        <w:t xml:space="preserve"> </w:t>
      </w:r>
      <w:r>
        <w:rPr>
          <w:i/>
        </w:rPr>
        <w:t xml:space="preserve">properties</w:t>
      </w:r>
      <w:r>
        <w:t xml:space="preserve"> </w:t>
      </w:r>
      <w:r>
        <w:t xml:space="preserve">of materials that an artist or craftsperson seeks to express, but rather their</w:t>
      </w:r>
      <w:r>
        <w:t xml:space="preserve"> </w:t>
      </w:r>
      <w:r>
        <w:rPr>
          <w:i/>
        </w:rPr>
        <w:t xml:space="preserve">qualities.</w:t>
      </w:r>
    </w:p>
    <w:p>
      <w:pPr>
        <w:pStyle w:val="FootnoteText"/>
      </w:pPr>
      <w:r>
        <w:t xml:space="preserve">Ingold quotes from Pye’s book:</w:t>
      </w:r>
    </w:p>
    <w:p>
      <w:pPr>
        <w:pStyle w:val="BlockQuote"/>
        <w:pStyle w:val="FootnoteText"/>
      </w:pPr>
      <w:r>
        <w:t xml:space="preserve">The properties of materials are objective and measurable. They are out there. The qualities on the other hand are subjective: they are in here: in our heads. They are ideas of ours. They are part of that private view of the world which artists each have within them. We each have our own view of what stoniness is. (47)</w:t>
      </w:r>
    </w:p>
    <w:p>
      <w:pPr>
        <w:pStyle w:val="FootnoteText"/>
      </w:pPr>
      <w:r>
        <w:t xml:space="preserve">Tim Ingold,</w:t>
      </w:r>
      <w:r>
        <w:t xml:space="preserve"> </w:t>
      </w:r>
      <w:r>
        <w:rPr>
          <w:i/>
        </w:rPr>
        <w:t xml:space="preserve">Being Alive: Essays on Movement, Knowledge and Description</w:t>
      </w:r>
      <w:r>
        <w:t xml:space="preserve">, (London ; New York: Routledge, 2011)</w:t>
      </w:r>
      <w:r>
        <w:t xml:space="preserve">, 29, citing</w:t>
      </w:r>
      <w:r>
        <w:t xml:space="preserve"> </w:t>
      </w:r>
      <w:r>
        <w:t xml:space="preserve">David Pye,</w:t>
      </w:r>
      <w:r>
        <w:t xml:space="preserve"> </w:t>
      </w:r>
      <w:r>
        <w:rPr>
          <w:i/>
        </w:rPr>
        <w:t xml:space="preserve">The Nature and Art of Workmanship</w:t>
      </w:r>
      <w:r>
        <w:t xml:space="preserve">, (London: Cambridge U.P., 1968)</w:t>
      </w:r>
      <w:r>
        <w:t xml:space="preserve">.</w:t>
      </w:r>
    </w:p>
  </w:footnote>
  <w:footnote w:id="25">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James Nasmyth,</w:t>
      </w:r>
      <w:r>
        <w:t xml:space="preserve"> </w:t>
      </w:r>
      <w:r>
        <w:rPr>
          <w:i/>
        </w:rPr>
        <w:t xml:space="preserve">James Nasmyth, Engineer: an Autobiography</w:t>
      </w:r>
      <w:r>
        <w:t xml:space="preserve">, ed. Samuel Smiles, (New York: Harper, 1883)</w:t>
      </w:r>
      <w:r>
        <w:t xml:space="preserve">, 99-100. Quoted in</w:t>
      </w:r>
      <w:r>
        <w:t xml:space="preserve"> </w:t>
      </w:r>
      <w:r>
        <w:t xml:space="preserve">Lissa Roberts, Simon Schaffer, and Peter Dear, eds.,</w:t>
      </w:r>
      <w:r>
        <w:t xml:space="preserve"> </w:t>
      </w:r>
      <w:r>
        <w:rPr>
          <w:i/>
        </w:rPr>
        <w:t xml:space="preserve">The Mindful Hand: Inquiry and Invention from the Late Renaissance to Early Industrialisation</w:t>
      </w:r>
      <w:r>
        <w:t xml:space="preserve">, vol. 9, History of Science and Scholarship in the Netherlands, (Amsterdam: Koninklijke Nederlandse Akademie van Wetenschappen, 2007)</w:t>
      </w:r>
      <w:r>
        <w:t xml:space="preserve">, 309.</w:t>
      </w:r>
    </w:p>
  </w:footnote>
</w:footnotes>
</file>

<file path=word/numbering.xml><?xml version="1.0" encoding="utf-8"?>
<w:numbering xmlns:w="http://schemas.openxmlformats.org/wordprocessingml/2006/main">
  <w:abstractNum w:abstractNumId="0">
    <w:nsid w:val="6b639a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