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r>
        <w:rPr>
          <w:rStyle w:val="FootnoteRef"/>
        </w:rPr>
        <w:footnoteReference w:id="24"/>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cars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r>
        <w:rPr>
          <w:rStyle w:val="FootnoteRef"/>
        </w:rPr>
        <w:footnoteReference w:id="25"/>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With Germany’s decision to resume unrestricted submarine warfare in January 1917 and the publication of their secret Zimmerman telegram (which offered a military alliance to Mexico), the United States declared war on Germany on April 6, and on the Austro-Hungarian Empire the following day.</w:t>
      </w:r>
    </w:p>
  </w:footnote>
  <w:footnote w:id="25">
    <w:p>
      <w:pPr>
        <w:pStyle w:val="FootnoteText"/>
      </w:pPr>
      <w:r>
        <w:rPr>
          <w:rStyle w:val="FootnoteRef"/>
        </w:rPr>
        <w:footnoteRef/>
      </w:r>
      <w:r>
        <w:t xml:space="preserve">Part of what worried the government about amateur signaling and open airwaves was the possibility of malicious interference, surveillance, and covert communications. Strategic planning for these problems began during debates over the 1912 Radio Act. By the time the United States entered the war five years later, it had already</w:t>
      </w:r>
      <w:r>
        <w:t xml:space="preserve"> </w:t>
      </w:r>
      <w:r>
        <w:t xml:space="preserve">“</w:t>
      </w:r>
      <w:r>
        <w:t xml:space="preserve">begun construction of a massive network of stations from the Philippines to Puerto Rico</w:t>
      </w:r>
      <w:r>
        <w:t xml:space="preserve">”</w:t>
      </w:r>
      <w:r>
        <w:t xml:space="preserve"> </w:t>
      </w:r>
      <w:r>
        <w:t xml:space="preserve">in preparation to take charge of all public and private long-distance radio communications.</w:t>
      </w:r>
    </w:p>
    <w:p>
      <w:pPr>
        <w:pStyle w:val="BlockQuote"/>
        <w:pStyle w:val="FootnoteText"/>
      </w:pPr>
      <w:r>
        <w:t xml:space="preserve">The pace of change had quickly exceeded the ability of the government to keep up. The most recent legislation on radio, the 1912 Radio Act, did not dictate the citizenship of station owners. Theoretically, any government could open a radio station in the United States or subsidize a trusted company to act on its behalf. From such a lodgment, a station could monitor the navy’s operations or jam its signals, while to all outward appearances remaining a legitimate commercial firm. … As Admiral [Robert S.] Griffin and others believed at the time,</w:t>
      </w:r>
      <w:r>
        <w:t xml:space="preserve"> </w:t>
      </w:r>
      <w:r>
        <w:t xml:space="preserve">‘</w:t>
      </w:r>
      <w:r>
        <w:t xml:space="preserve">radio is a natural monopoly.</w:t>
      </w:r>
      <w:r>
        <w:t xml:space="preserve">’</w:t>
      </w:r>
      <w:r>
        <w:t xml:space="preserve"> </w:t>
      </w:r>
      <w:r>
        <w:t xml:space="preserve">There was chaos in the new field of radio, but service seemed to be most efficient if under a single authority. That single authority, in the view of the U.S. Navy, ought to be the U.S. government. The security of the country compelled it.</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97, 62-3.</w:t>
      </w:r>
    </w:p>
  </w:footnote>
</w:footnotes>
</file>

<file path=word/numbering.xml><?xml version="1.0" encoding="utf-8"?>
<w:numbering xmlns:w="http://schemas.openxmlformats.org/wordprocessingml/2006/main">
  <w:abstractNum w:abstractNumId="0">
    <w:nsid w:val="7e750e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