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r>
        <w:rPr>
          <w:rStyle w:val="FootnoteRef"/>
        </w:rPr>
        <w:footnoteReference w:id="24"/>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w:t>
      </w:r>
      <w:r>
        <w:t xml:space="preserve"> </w:t>
      </w:r>
      <w:r>
        <w:rPr>
          <w:i/>
        </w:rPr>
        <w:t xml:space="preserve">Naval Communications may</w:t>
      </w:r>
      <w:r>
        <w:t xml:space="preserve"> </w:t>
      </w:r>
      <w:r>
        <w:t xml:space="preserve">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5"/>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so that private firms could cooperate on new devices.</w:t>
      </w:r>
      <w:r>
        <w:t xml:space="preserve"> </w:t>
      </w:r>
      <w:r>
        <w:t xml:space="preserve">“</w:t>
      </w:r>
      <w:r>
        <w:t xml:space="preserve">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278.</w:t>
      </w:r>
    </w:p>
  </w:footnote>
  <w:footnote w:id="25">
    <w:p>
      <w:pPr>
        <w:pStyle w:val="FootnoteText"/>
      </w:pPr>
      <w:r>
        <w:rPr>
          <w:rStyle w:val="FootnoteRef"/>
        </w:rPr>
        <w:footnoteRef/>
      </w:r>
      <w:r>
        <w:t xml:space="preserve">While the presence of local stations and a well-trained citizenry were important, Jonathan Reed Winkler argues that the Great War necessitated a holistic understanding of the United States’s strategic interests within an increasingly global communications network:</w:t>
      </w:r>
    </w:p>
    <w:p>
      <w:pPr>
        <w:pStyle w:val="BlockQuote"/>
        <w:pStyle w:val="FootnoteText"/>
      </w:pPr>
      <w:r>
        <w:t xml:space="preserve">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w:t>
      </w:r>
    </w:p>
    <w:p>
      <w:pPr>
        <w:pStyle w:val="FootnoteText"/>
      </w:pPr>
      <w:r>
        <w:t xml:space="preserve">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w:t>
      </w:r>
      <w:r>
        <w:t xml:space="preserve"> </w:t>
      </w:r>
      <w:r>
        <w:t xml:space="preserve">Ibid.,</w:t>
      </w:r>
      <w:r>
        <w:t xml:space="preserve"> </w:t>
      </w:r>
      <w:r>
        <w:t xml:space="preserve">, 251-3.</w:t>
      </w:r>
    </w:p>
    <w:p>
      <w:pPr>
        <w:pStyle w:val="FootnoteText"/>
      </w:pPr>
      <w:r>
        <w:t xml:space="preserve">Also relevant here is Markus Krajewski’s media archaeological account of attempts to configure and conceptualize the globe as a single system around the turn of the twentieth century.</w:t>
      </w:r>
      <w:r>
        <w:t xml:space="preserve"> </w:t>
      </w:r>
      <w:r>
        <w:t xml:space="preserve">Markus Krajewski,</w:t>
      </w:r>
      <w:r>
        <w:t xml:space="preserve"> </w:t>
      </w:r>
      <w:r>
        <w:rPr>
          <w:i/>
        </w:rPr>
        <w:t xml:space="preserve">World Projects: Global Information Before World War I</w:t>
      </w:r>
      <w:r>
        <w:t xml:space="preserve">, trans. Charles Marcrum II, (Minneapolis: Univ Of Minnesota Press, 2014)</w:t>
      </w:r>
      <w:r>
        <w:t xml:space="preserve">.</w:t>
      </w:r>
    </w:p>
  </w:footnote>
</w:footnotes>
</file>

<file path=word/numbering.xml><?xml version="1.0" encoding="utf-8"?>
<w:numbering xmlns:w="http://schemas.openxmlformats.org/wordprocessingml/2006/main">
  <w:abstractNum w:abstractNumId="0">
    <w:nsid w:val="d339c4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