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Date"/>
      </w:pPr>
      <w:r>
        <w:t xml:space="preserve">July</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r>
        <w:rPr>
          <w:rStyle w:val="FootnoteRef"/>
        </w:rPr>
        <w:footnoteReference w:id="24"/>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While</w:t>
      </w:r>
      <w:r>
        <w:t xml:space="preserve"> </w:t>
      </w:r>
      <w:r>
        <w:rPr>
          <w:i/>
        </w:rPr>
        <w:t xml:space="preserve">Electrical Experimenter</w:t>
      </w:r>
      <w:r>
        <w:t xml:space="preserve"> </w:t>
      </w:r>
      <w:r>
        <w:t xml:space="preserve">began as a specialized companion magazine for tinkerers, by 1918 it owed its 100,000 issue per month circulation to an increasingly general focus. A magazine whose tagline was</w:t>
      </w:r>
      <w:r>
        <w:t xml:space="preserve"> </w:t>
      </w:r>
      <w:r>
        <w:t xml:space="preserve">“</w:t>
      </w:r>
      <w:r>
        <w:t xml:space="preserve">The Electrical Magazine for the Experimenter</w:t>
      </w:r>
      <w:r>
        <w:t xml:space="preserve">”</w:t>
      </w:r>
      <w:r>
        <w:t xml:space="preserve"> </w:t>
      </w:r>
      <w:r>
        <w:t xml:space="preserve">became</w:t>
      </w:r>
      <w:r>
        <w:t xml:space="preserve"> </w:t>
      </w:r>
      <w:r>
        <w:t xml:space="preserve">“</w:t>
      </w:r>
      <w:r>
        <w:t xml:space="preserve">The Electrical Magazine for Everybody.</w:t>
      </w:r>
      <w:r>
        <w:t xml:space="preserve">”</w:t>
      </w:r>
      <w:r>
        <w:t xml:space="preserve"> </w:t>
      </w:r>
      <w:r>
        <w:t xml:space="preserve">It later changed its name to</w:t>
      </w:r>
      <w:r>
        <w:t xml:space="preserve"> </w:t>
      </w:r>
      <w:r>
        <w:rPr>
          <w:i/>
        </w:rPr>
        <w:t xml:space="preserve">Science and Invention</w:t>
      </w:r>
      <w:r>
        <w:t xml:space="preserve"> </w:t>
      </w:r>
      <w:r>
        <w:t xml:space="preserve">in 1920, a magazine that covered an array of developments in science and technology, and began experiments with dynamic page layouts in favor of longer texts (See</w:t>
      </w:r>
      <w:r>
        <w:t xml:space="preserve"> </w:t>
      </w:r>
      <w:r>
        <w:rPr>
          <w:b/>
        </w:rPr>
        <w:t xml:space="preserve">The New Science and Invention.</w:t>
      </w:r>
      <w:r>
        <w:t xml:space="preserve">)</w:t>
      </w:r>
    </w:p>
    <w:p>
      <w:pPr>
        <w:pStyle w:val="FootnoteText"/>
      </w:pPr>
      <w:r>
        <w:t xml:space="preserve">The new title</w:t>
      </w:r>
      <w:r>
        <w:t xml:space="preserve"> </w:t>
      </w:r>
      <w:r>
        <w:rPr>
          <w:i/>
        </w:rPr>
        <w:t xml:space="preserve">Radio Amateur News</w:t>
      </w:r>
      <w:r>
        <w:t xml:space="preserve"> </w:t>
      </w:r>
      <w:r>
        <w:t xml:space="preserve">(later shortened to</w:t>
      </w:r>
      <w:r>
        <w:t xml:space="preserve"> </w:t>
      </w:r>
      <w:r>
        <w:rPr>
          <w:i/>
        </w:rPr>
        <w:t xml:space="preserve">Radio News</w:t>
      </w:r>
      <w:r>
        <w:t xml:space="preserve">) thus became the new home for hands-on readers, a magazine that took seriously the role of the independent experimenter throughout the 1920s, an age of mass-produced sets and big broadcasting companies.</w:t>
      </w:r>
    </w:p>
  </w:footnote>
</w:footnotes>
</file>

<file path=word/numbering.xml><?xml version="1.0" encoding="utf-8"?>
<w:numbering xmlns:w="http://schemas.openxmlformats.org/wordprocessingml/2006/main">
  <w:abstractNum w:abstractNumId="0">
    <w:nsid w:val="b27ad6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coreProperties>
</file>