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1"/>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7899e6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