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w:t>
      </w:r>
      <w:r>
        <w:t xml:space="preserve"> </w:t>
      </w:r>
      <w:r>
        <w:t xml:space="preserve">“</w:t>
      </w:r>
      <w:r>
        <w:t xml:space="preserve">radio performances</w:t>
      </w:r>
      <w:r>
        <w:t xml:space="preserve">”</w:t>
      </w:r>
      <w:r>
        <w:t xml:space="preserve"> </w:t>
      </w:r>
      <w:r>
        <w:t xml:space="preserve">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r>
        <w:rPr>
          <w:rStyle w:val="FootnoteRef"/>
        </w:rPr>
        <w:footnoteReference w:id="25"/>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w:t>
      </w:r>
      <w:r>
        <w:t xml:space="preserve"> </w:t>
      </w:r>
      <w:r>
        <w:t xml:space="preserve">“</w:t>
      </w:r>
      <w:r>
        <w:t xml:space="preserve">Aida,</w:t>
      </w:r>
      <w:r>
        <w:t xml:space="preserve">”</w:t>
      </w:r>
      <w:r>
        <w:t xml:space="preserve"> </w:t>
      </w:r>
      <w:r>
        <w:t xml:space="preserve">which had been filmed before,</w:t>
      </w:r>
      <w:r>
        <w:t xml:space="preserve"> </w:t>
      </w:r>
      <w:r>
        <w:rPr>
          <w:i/>
        </w:rPr>
        <w:t xml:space="preserve">is now repeated on the screen</w:t>
      </w:r>
      <w:r>
        <w:t xml:space="preserve"> </w:t>
      </w:r>
      <w:r>
        <w:t xml:space="preserve">while the entire cast follows the screen picture closely. Each performer, every star, every member of the chorus has his or her own microphone in which he or she sings the regular score, watching closely the film-play as the action is unreeled on the screen. 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wasn’t the first proposal for broadcasting both the sound and image of live opera performances, but it was one of the most fully developed at the time. Thomas Edison, for instance, is quoted in an 1893</w:t>
      </w:r>
      <w:r>
        <w:t xml:space="preserve"> </w:t>
      </w:r>
      <w:r>
        <w:rPr>
          <w:i/>
        </w:rPr>
        <w:t xml:space="preserve">New York Times</w:t>
      </w:r>
      <w:r>
        <w:t xml:space="preserve"> </w:t>
      </w:r>
      <w:r>
        <w:t xml:space="preserve">article as saying,</w:t>
      </w:r>
      <w:r>
        <w:t xml:space="preserve"> </w:t>
      </w:r>
      <w:r>
        <w:t xml:space="preserve">“</w:t>
      </w:r>
      <w:r>
        <w:t xml:space="preserve">My intention is to have such a happy combination of photography and electricity that a man can sit in his own parlor, see depicted upon a curtain the forms of the players in opera upon a distant stage and hear the voices of the singers.</w:t>
      </w:r>
      <w:r>
        <w:t xml:space="preserve">”</w:t>
      </w:r>
      <w:r>
        <w:t xml:space="preserve"> </w:t>
      </w:r>
      <w:r>
        <w:t xml:space="preserve">See</w:t>
      </w:r>
      <w:r>
        <w:t xml:space="preserve"> </w:t>
      </w:r>
      <w:r>
        <w:t xml:space="preserve">Ken Wlaschin,</w:t>
      </w:r>
      <w:r>
        <w:t xml:space="preserve"> </w:t>
      </w:r>
      <w:r>
        <w:rPr>
          <w:i/>
        </w:rPr>
        <w:t xml:space="preserve">Encyclopedia of Opera on Screen: A Guide to More Than 100 Years of Opera Films, Videos, and DVDs</w:t>
      </w:r>
      <w:r>
        <w:t xml:space="preserve">, F First Edition edition., (New Haven: Yale University Press, 2004)</w:t>
      </w:r>
      <w:r>
        <w:t xml:space="preserve">, p. vii.</w:t>
      </w:r>
    </w:p>
    <w:p>
      <w:pPr>
        <w:pStyle w:val="FootnoteText"/>
      </w:pPr>
      <w:r>
        <w:t xml:space="preserve">For a musicological account of more recent initiatives to broadcast opera performances to cinema screens around the world, see</w:t>
      </w:r>
      <w:r>
        <w:t xml:space="preserve"> </w:t>
      </w:r>
      <w:r>
        <w:t xml:space="preserve">James Steichen, “The Metropolitan Opera Goes Public: Peter Gelb and the Institutional Dramaturgy of the Met: ‘Live in HD’,”</w:t>
      </w:r>
      <w:r>
        <w:t xml:space="preserve"> </w:t>
      </w:r>
      <w:r>
        <w:rPr>
          <w:i/>
        </w:rPr>
        <w:t xml:space="preserve">Music and the Moving Image</w:t>
      </w:r>
      <w:r>
        <w:t xml:space="preserve">, 2, no. 2, (July 2009): 24–30,</w:t>
      </w:r>
      <w:r>
        <w:t xml:space="preserve"> </w:t>
      </w:r>
      <w:hyperlink r:id="rId26">
        <w:r>
          <w:rPr>
            <w:rStyle w:val="Link"/>
          </w:rPr>
          <w:t xml:space="preserve">http://www.jstor.org/stable/10.5406/musimoviimag.2.2.0024</w:t>
        </w:r>
      </w:hyperlink>
      <w:r>
        <w:t xml:space="preserve"/>
      </w:r>
      <w:r>
        <w:t xml:space="preserve">.</w:t>
      </w:r>
    </w:p>
  </w:footnote>
</w:footnotes>
</file>

<file path=word/numbering.xml><?xml version="1.0" encoding="utf-8"?>
<w:numbering xmlns:w="http://schemas.openxmlformats.org/wordprocessingml/2006/main">
  <w:abstractNum w:abstractNumId="0">
    <w:nsid w:val="334c83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