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Date"/>
      </w:pPr>
      <w:r>
        <w:t xml:space="preserve">October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r>
        <w:rPr>
          <w:rStyle w:val="FootnoteRef"/>
        </w:rPr>
        <w:footnoteReference w:id="24"/>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r>
        <w:rPr>
          <w:rStyle w:val="FootnoteRef"/>
        </w:rPr>
        <w:footnoteReference w:id="25"/>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r>
        <w:rPr>
          <w:rStyle w:val="FootnoteRef"/>
        </w:rPr>
        <w:footnoteReference w:id="26"/>
      </w:r>
    </w:p>
    <w:p>
      <w:r>
        <w:pict>
          <v:rect style="width:0;height:1.5pt" o:hralign="center" o:hrstd="t" o:hr="t"/>
        </w:pict>
      </w:r>
    </w:p>
    <w:bookmarkStart w:id="27" w:name="radio-restrictions-off"/>
    <w:p>
      <w:pPr>
        <w:pStyle w:val="Heading2"/>
      </w:pPr>
      <w:r>
        <w:t xml:space="preserve">Radio Restrictions Off</w:t>
      </w:r>
    </w:p>
    <w:bookmarkEnd w:id="27"/>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a 1919 issue of the trade journal</w:t>
      </w:r>
      <w:r>
        <w:t xml:space="preserve"> </w:t>
      </w:r>
      <w:r>
        <w:rPr>
          <w:i/>
        </w:rPr>
        <w:t xml:space="preserve">Telephony,</w:t>
      </w:r>
      <w:r>
        <w:t xml:space="preserve"> </w:t>
      </w:r>
      <w:r>
        <w:t xml:space="preserve">the Merchants’ Association of New York issued a resolution in opposition to government ownership of telephone infrastructure:</w:t>
      </w:r>
      <w:r>
        <w:t xml:space="preserve"> </w:t>
      </w:r>
      <w:r>
        <w:t xml:space="preserve">“</w:t>
      </w:r>
      <w:r>
        <w:t xml:space="preserve">In England the telephone system is state-owned, and operated by the Post Office Department. The service is unreliable and subject to much delay. (In passing it may be said that the highly efficient telegraph service of England, for which the rates are very low, is provided at the cost of a heavy annual deficit payable by taxation.) The installation is in large part antiquated. It can be brought up to American standards only by extensive reconstruction at a cost of many million pounds; and the funds required have been persistently refused by the government.</w:t>
      </w:r>
      <w:r>
        <w:t xml:space="preserve">”</w:t>
      </w:r>
      <w:r>
        <w:t xml:space="preserve"> </w:t>
      </w:r>
      <w:r>
        <w:t xml:space="preserve">“Is Against Government Ownership,” 76, no. 7, (February 1919): 16–17, 33–34</w:t>
      </w:r>
      <w:r>
        <w:t xml:space="preserve">.</w:t>
      </w:r>
    </w:p>
  </w:footnote>
  <w:footnote w:id="25">
    <w:p>
      <w:pPr>
        <w:pStyle w:val="FootnoteText"/>
      </w:pPr>
      <w:r>
        <w:rPr>
          <w:rStyle w:val="FootnoteRef"/>
        </w:rPr>
        <w:footnoteRef/>
      </w:r>
      <w:r>
        <w:t xml:space="preserve">Gernsback is referring to Secretary of the Navy Josephus Daniels’s suggestions to Congress for a bill keeping radio broadcasting under the control of the Navy. See also</w:t>
      </w:r>
      <w:r>
        <w:t xml:space="preserve"> </w:t>
      </w:r>
      <w:r>
        <w:rPr>
          <w:b/>
        </w:rPr>
        <w:t xml:space="preserve">Amateur Radio Restored.</w:t>
      </w:r>
    </w:p>
  </w:footnote>
  <w:footnote w:id="26">
    <w:p>
      <w:pPr>
        <w:pStyle w:val="FootnoteText"/>
      </w:pPr>
      <w:r>
        <w:rPr>
          <w:rStyle w:val="FootnoteRef"/>
        </w:rPr>
        <w:footnoteRef/>
      </w:r>
      <w:r>
        <w:t xml:space="preserve">Manderville’s letter to his senator reads:</w:t>
      </w:r>
    </w:p>
    <w:p>
      <w:pPr>
        <w:pStyle w:val="BlockQuote"/>
        <w:pStyle w:val="FootnoteText"/>
      </w:pPr>
      <w:r>
        <w:t xml:space="preserve">The writer wishes to appeal to you to prevent, if possible, the control of all wireless telegraphic communication being placed in the hands of the Navy Department. He asks this in a dual capacity; first, as a private citizen who is a wireless amateur and vitally interested in wireless telegraphy, both as an electrical engineer and as an experimenter, and, second, as chief engineer of the T. W. Phillips Gas &amp; Oil company, a public service corporation engaged in supplying gas to 20,000 consumers in Western Pennsylvania. … Navy control of wireless telegraphy spells death to both amateur and business use of this method of communication. Another point is that all wireless installations now are thoroly under government control in the hands of efficient officers of the Department of Commerce and there is no good reason for any change. … In closing I wish to point out that all the great advances in the use of wireless telegraphy and telephony have been made by amateurs or commercial companies.</w:t>
      </w:r>
    </w:p>
  </w:footnote>
</w:footnotes>
</file>

<file path=word/numbering.xml><?xml version="1.0" encoding="utf-8"?>
<w:numbering xmlns:w="http://schemas.openxmlformats.org/wordprocessingml/2006/main">
  <w:abstractNum w:abstractNumId="0">
    <w:nsid w:val="935614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
</cp:coreProperties>
</file>