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4"/>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r>
        <w:rPr>
          <w:rStyle w:val="FootnoteRef"/>
        </w:rPr>
        <w:footnoteReference w:id="25"/>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 w:id="25">
    <w:p>
      <w:pPr>
        <w:pStyle w:val="FootnoteText"/>
      </w:pPr>
      <w:r>
        <w:rPr>
          <w:rStyle w:val="FootnoteRef"/>
        </w:rPr>
        <w:footnoteRef/>
      </w:r>
      <w:r>
        <w:t xml:space="preserve">A</w:t>
      </w:r>
      <w:r>
        <w:t xml:space="preserve"> </w:t>
      </w:r>
      <w:r>
        <w:t xml:space="preserve">“</w:t>
      </w:r>
      <w:r>
        <w:t xml:space="preserve">Publisher’s Announcement</w:t>
      </w:r>
      <w:r>
        <w:t xml:space="preserve">”</w:t>
      </w:r>
      <w:r>
        <w:t xml:space="preserve"> </w:t>
      </w:r>
      <w:r>
        <w:t xml:space="preserve">prepared the</w:t>
      </w:r>
      <w:r>
        <w:t xml:space="preserve"> </w:t>
      </w:r>
      <w:r>
        <w:rPr>
          <w:i/>
        </w:rPr>
        <w:t xml:space="preserve">Electrical Experimenter’s</w:t>
      </w:r>
      <w:r>
        <w:t xml:space="preserve"> </w:t>
      </w:r>
      <w:r>
        <w:t xml:space="preserve">roughly 200,000 readers for the change in title and content of the magazine in the previous month’s issue:</w:t>
      </w:r>
    </w:p>
    <w:p>
      <w:pPr>
        <w:pStyle w:val="BlockQuote"/>
        <w:pStyle w:val="FootnoteText"/>
      </w:pPr>
      <w:r>
        <w:t xml:space="preserve">your average experimenter wants more than experiments. He wants to know the latest word in science, the newest invention, the latest developments in the realm of human endeavor. He wants to know what the scientists and his fellow workers are doing the world over, and he wants these facts in plain English, adequately illustrated.</w:t>
      </w:r>
    </w:p>
    <w:p>
      <w:pPr>
        <w:pStyle w:val="FootnoteText"/>
      </w:pPr>
      <w:r>
        <w:t xml:space="preserve">The new format would address a growing readership with more general interests.</w:t>
      </w:r>
    </w:p>
    <w:p>
      <w:pPr>
        <w:pStyle w:val="BlockQuote"/>
        <w:pStyle w:val="FootnoteText"/>
      </w:pPr>
      <w:r>
        <w:t xml:space="preserve">The business man, the manufacturer, the doctor, the professor, the student and countless others found in the ELECTRICAL EXPERIMENTER an intellectual gold mine, second to none. The ELECTRICAL EXPERIMENTER always has and always will appeal to the thinking class. … We kept all of our old friends and supporters—the ones who buy the ELECTRICAL EXPERIMENTER mostly for the experimental section, and we added besides many thousands of new readers who derived their greatest pleasure from the other</w:t>
      </w:r>
      <w:r>
        <w:t xml:space="preserve"> </w:t>
      </w:r>
      <w:r>
        <w:t xml:space="preserve">“</w:t>
      </w:r>
      <w:r>
        <w:t xml:space="preserve">general science</w:t>
      </w:r>
      <w:r>
        <w:t xml:space="preserve">”</w:t>
      </w:r>
      <w:r>
        <w:t xml:space="preserve"> </w:t>
      </w:r>
      <w:r>
        <w:t xml:space="preserve">departments. But we are out for the half million mark, because we know from past experience that the greater the circulation the better we can make the magazine, the more text we can give, the better we can satisfy</w:t>
      </w:r>
      <w:r>
        <w:t xml:space="preserve"> </w:t>
      </w:r>
      <w:r>
        <w:rPr>
          <w:i/>
        </w:rPr>
        <w:t xml:space="preserve">all</w:t>
      </w:r>
      <w:r>
        <w:t xml:space="preserve"> </w:t>
      </w:r>
      <w:r>
        <w:t xml:space="preserve">readers.</w:t>
      </w:r>
    </w:p>
  </w:footnote>
</w:footnotes>
</file>

<file path=word/numbering.xml><?xml version="1.0" encoding="utf-8"?>
<w:numbering xmlns:w="http://schemas.openxmlformats.org/wordprocessingml/2006/main">
  <w:abstractNum w:abstractNumId="0">
    <w:nsid w:val="2b064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