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w:t>
      </w:r>
      <w:r>
        <w:rPr>
          <w:rStyle w:val="FootnoteRef"/>
        </w:rPr>
        <w:footnoteReference w:id="24"/>
      </w:r>
      <w:r>
        <w:t xml:space="preserve"> </w:t>
      </w:r>
      <w:r>
        <w:t xml:space="preserve">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w:t>
      </w:r>
      <w:r>
        <w:rPr>
          <w:rStyle w:val="FootnoteRef"/>
        </w:rPr>
        <w:footnoteReference w:id="25"/>
      </w:r>
      <w:r>
        <w:t xml:space="preserve"> </w:t>
      </w:r>
      <w:r>
        <w:t xml:space="preserve">Not only did he turn out a host of these wonderful stories, but he wrote over one thousand of them, each one containing from 35,000 to 50,000 words.</w:t>
      </w:r>
      <w:r>
        <w:rPr>
          <w:rStyle w:val="FootnoteRef"/>
        </w:rPr>
        <w:footnoteReference w:id="27"/>
      </w:r>
      <w:r>
        <w:t xml:space="preserve"> </w:t>
      </w:r>
      <w:r>
        <w:t xml:space="preserve">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r>
        <w:rPr>
          <w:rStyle w:val="FootnoteRef"/>
        </w:rPr>
        <w:footnoteReference w:id="28"/>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9"/>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30"/>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r>
        <w:rPr>
          <w:rStyle w:val="FootnoteRef"/>
        </w:rPr>
        <w:footnoteReference w:id="31"/>
      </w:r>
    </w:p>
    <w:p>
      <w:r>
        <w:t xml:space="preserve">The illustrations which we are publishing herewith give but a faint idea of the stories which appeared in the early 80’s, almost forty years ago. 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Now collectively referred to as</w:t>
      </w:r>
      <w:r>
        <w:t xml:space="preserve"> </w:t>
      </w:r>
      <w:r>
        <w:t xml:space="preserve">“</w:t>
      </w:r>
      <w:r>
        <w:t xml:space="preserve">dime novels,</w:t>
      </w:r>
      <w:r>
        <w:t xml:space="preserve">”</w:t>
      </w:r>
      <w:r>
        <w:t xml:space="preserve"> </w:t>
      </w:r>
      <w:r>
        <w:t xml:space="preserve">these late-nineteenth-century saddle stitched pamphlets actually cost five or six cents. Nick Carter and Old King Brady were a popular private detective characters, the former created by John Russell Coryell (1851-1924) and first appearing in the</w:t>
      </w:r>
      <w:r>
        <w:t xml:space="preserve"> </w:t>
      </w:r>
      <w:r>
        <w:rPr>
          <w:i/>
        </w:rPr>
        <w:t xml:space="preserve">New York Weekly</w:t>
      </w:r>
      <w:r>
        <w:t xml:space="preserve"> </w:t>
      </w:r>
      <w:r>
        <w:t xml:space="preserve">in 1886, the latter by Francis Worcester Doughty (1850-1917) and first appearing in the</w:t>
      </w:r>
      <w:r>
        <w:t xml:space="preserve"> </w:t>
      </w:r>
      <w:r>
        <w:rPr>
          <w:i/>
        </w:rPr>
        <w:t xml:space="preserve">New York Detective Library</w:t>
      </w:r>
      <w:r>
        <w:t xml:space="preserve"> </w:t>
      </w:r>
      <w:r>
        <w:t xml:space="preserve">in 1885. Fictionalized versions of Jesse James, the notorious frontier outlaw, were omnipresent in dime novel westerns. For a comprehensive catalogue of dime novel characters, authors, and publications, see</w:t>
      </w:r>
      <w:r>
        <w:t xml:space="preserve"> </w:t>
      </w:r>
      <w:r>
        <w:t xml:space="preserve">J. Randolph Cox,</w:t>
      </w:r>
      <w:r>
        <w:t xml:space="preserve"> </w:t>
      </w:r>
      <w:r>
        <w:rPr>
          <w:i/>
        </w:rPr>
        <w:t xml:space="preserve">The Dime Novel Companion: A Source Book</w:t>
      </w:r>
      <w:r>
        <w:t xml:space="preserve">, (Westport, Conn: Greenwood, 2000)</w:t>
      </w:r>
      <w:r>
        <w:t xml:space="preserve">.</w:t>
      </w:r>
    </w:p>
  </w:footnote>
  <w:footnote w:id="25">
    <w:p>
      <w:pPr>
        <w:pStyle w:val="FootnoteText"/>
      </w:pPr>
      <w:r>
        <w:rPr>
          <w:rStyle w:val="FootnoteRef"/>
        </w:rPr>
        <w:footnoteRef/>
      </w:r>
      <w:r>
        <w:t xml:space="preserve">Luis Philip Senarens (1863-1939), a Brooklyn-based Cuban American, was one of the few dime novel authors to be known by his given name. Considering Samuel R. Delany’s comments on what we lose along with authorial identities in the history of science fiction, Senarens’s background is especially interesting:</w:t>
      </w:r>
    </w:p>
    <w:p>
      <w:pPr>
        <w:pStyle w:val="BlockQuote"/>
        <w:pStyle w:val="FootnoteText"/>
      </w:pPr>
      <w:r>
        <w:t xml:space="preserve">I believe I first heard Harlan Ellison make the point that we know of dozens upon dozens of early pulp writers only as names: They conducted their careers entirely by mail—in a field and during an era when pen names were the rule rather than the exception. Among the</w:t>
      </w:r>
      <w:r>
        <w:t xml:space="preserve"> </w:t>
      </w:r>
      <w:r>
        <w:t xml:space="preserve">‘</w:t>
      </w:r>
      <w:r>
        <w:t xml:space="preserve">Remington C. Scotts</w:t>
      </w:r>
      <w:r>
        <w:t xml:space="preserve">’</w:t>
      </w:r>
      <w:r>
        <w:t xml:space="preserve"> </w:t>
      </w:r>
      <w:r>
        <w:t xml:space="preserve">and the</w:t>
      </w:r>
      <w:r>
        <w:t xml:space="preserve"> </w:t>
      </w:r>
      <w:r>
        <w:t xml:space="preserve">‘</w:t>
      </w:r>
      <w:r>
        <w:t xml:space="preserve">Frank P. Joneses</w:t>
      </w:r>
      <w:r>
        <w:t xml:space="preserve">’</w:t>
      </w:r>
      <w:r>
        <w:t xml:space="preserve"> </w:t>
      </w:r>
      <w:r>
        <w:t xml:space="preserve">who litter the contents pages of the early pulps, we simply have no way of knowing if one, three, or seven of them—or even many more—were blacks, Hispanics, women, Native Americans, Asians, or whatever. Writing is like that.</w:t>
      </w:r>
    </w:p>
    <w:p>
      <w:pPr>
        <w:pStyle w:val="FootnoteText"/>
      </w:pPr>
      <w:r>
        <w:t xml:space="preserve">Samuel R Delany, “Racism and Science Fiction,” in</w:t>
      </w:r>
      <w:r>
        <w:t xml:space="preserve"> </w:t>
      </w:r>
      <w:r>
        <w:rPr>
          <w:i/>
        </w:rPr>
        <w:t xml:space="preserve">Dark Matter: A Century of Speculative Fiction from the African Diaspora</w:t>
      </w:r>
      <w:r>
        <w:t xml:space="preserve">, (New York: Warner, 2000)</w:t>
      </w:r>
    </w:p>
    <w:p>
      <w:pPr>
        <w:pStyle w:val="FootnoteText"/>
      </w:pPr>
      <w:r>
        <w:t xml:space="preserve">It would be nice if Senarens could prove the exception to this rule. Much like Lisa Yaszek’s work on the hundreds of female authors (many publishing under male pen names) for whom writing science fiction in postwar suburban America was</w:t>
      </w:r>
      <w:r>
        <w:t xml:space="preserve"> </w:t>
      </w:r>
      <w:r>
        <w:t xml:space="preserve">“</w:t>
      </w:r>
      <w:r>
        <w:t xml:space="preserve">virtually the only vehicle of political dissent,</w:t>
      </w:r>
      <w:r>
        <w:t xml:space="preserve">”</w:t>
      </w:r>
      <w:r>
        <w:t xml:space="preserve"> </w:t>
      </w:r>
      <w:r>
        <w:t xml:space="preserve">one wishes that Senarens as a Cuban author could shed light on marginalized communities that participated (as editors, readers, storytellers) in the otherwise suffocatingly white male world of dime novel—and later pulp—fiction.</w:t>
      </w:r>
      <w:r>
        <w:t xml:space="preserve"> </w:t>
      </w:r>
      <w:r>
        <w:t xml:space="preserve">Lisa Yaszek,</w:t>
      </w:r>
      <w:r>
        <w:t xml:space="preserve"> </w:t>
      </w:r>
      <w:r>
        <w:rPr>
          <w:i/>
        </w:rPr>
        <w:t xml:space="preserve">Galactic Suburbia: Recovering Women’s Science Fiction</w:t>
      </w:r>
      <w:r>
        <w:t xml:space="preserve">, 1 edition., (Columbus: Ohio State University Press, 2008)</w:t>
      </w:r>
      <w:r>
        <w:t xml:space="preserve">, p. 3, quoting Judith Merril.</w:t>
      </w:r>
    </w:p>
    <w:p>
      <w:pPr>
        <w:pStyle w:val="FootnoteText"/>
      </w:pPr>
      <w:r>
        <w:t xml:space="preserve">Unfortunately, Senarens’s work is in fact a distillation of the absolute worst tendencies of the dime novels’ virulent racism and gleeful violence. E.F. Bleiler’s catalogue barely scratches the surface:</w:t>
      </w:r>
      <w:r>
        <w:t xml:space="preserve"> </w:t>
      </w:r>
      <w:r>
        <w:t xml:space="preserve">“</w:t>
      </w:r>
      <w:r>
        <w:t xml:space="preserve">sadism, a rancorous disparaging of all races with the exception of WASPS, factual ignorance, coarse imperialist clichés about Manifest Destiny and the right of the White Man to rule the world.</w:t>
      </w:r>
      <w:r>
        <w:t xml:space="preserve">”</w:t>
      </w:r>
      <w:r>
        <w:t xml:space="preserve"> </w:t>
      </w:r>
      <w:r>
        <w:t xml:space="preserve">Everett F. Bleiler, John Eggeling, and John Clute, “Senarens, Luis Philip,” in</w:t>
      </w:r>
      <w:r>
        <w:t xml:space="preserve"> </w:t>
      </w:r>
      <w:r>
        <w:rPr>
          <w:i/>
        </w:rPr>
        <w:t xml:space="preserve">The Encyclopedia of Science Fiction</w:t>
      </w:r>
      <w:r>
        <w:t xml:space="preserve">, ed. John Clute et al., (London: Gollancz, 2014),</w:t>
      </w:r>
      <w:r>
        <w:t xml:space="preserve"> </w:t>
      </w:r>
      <w:hyperlink r:id="rId26">
        <w:r>
          <w:rPr>
            <w:rStyle w:val="Link"/>
          </w:rPr>
          <w:t xml:space="preserve">http://www.sf-encyclopedia.com/entry/senarens_luis_philip</w:t>
        </w:r>
      </w:hyperlink>
      <w:r>
        <w:t xml:space="preserve"/>
      </w:r>
    </w:p>
    <w:p>
      <w:pPr>
        <w:pStyle w:val="FootnoteText"/>
      </w:pPr>
      <w:r>
        <w:t xml:space="preserve">Of course, as a genre writer, one’s work must inherently fit within a given paradigm. But take, for instance, Senarens’s first Reade title,</w:t>
      </w:r>
      <w:r>
        <w:t xml:space="preserve"> </w:t>
      </w:r>
      <w:r>
        <w:rPr>
          <w:i/>
        </w:rPr>
        <w:t xml:space="preserve">Frank Reade, Jr. and His Steam Wonder,</w:t>
      </w:r>
      <w:r>
        <w:t xml:space="preserve"> </w:t>
      </w:r>
      <w:r>
        <w:t xml:space="preserve">in which the teenaged protagonist and his friends (including Pomp,</w:t>
      </w:r>
      <w:r>
        <w:t xml:space="preserve"> </w:t>
      </w:r>
      <w:r>
        <w:t xml:space="preserve">“</w:t>
      </w:r>
      <w:r>
        <w:t xml:space="preserve">the darkey who had accompanied Frank Reade, Sr., on so many of his wild escapades</w:t>
      </w:r>
      <w:r>
        <w:t xml:space="preserve">”</w:t>
      </w:r>
      <w:r>
        <w:t xml:space="preserve">) massacre two hundred Native Americans in minutes, circling around the group in the Steam Wonder, a tank armed with repeating rifles and cannons that shoot boiling water. When it is done, they</w:t>
      </w:r>
      <w:r>
        <w:t xml:space="preserve"> </w:t>
      </w:r>
      <w:r>
        <w:t xml:space="preserve">“</w:t>
      </w:r>
      <w:r>
        <w:t xml:space="preserve">rejoice</w:t>
      </w:r>
      <w:r>
        <w:t xml:space="preserve">”</w:t>
      </w:r>
      <w:r>
        <w:t xml:space="preserve">:</w:t>
      </w:r>
    </w:p>
    <w:p>
      <w:pPr>
        <w:pStyle w:val="BlockQuote"/>
        <w:pStyle w:val="FootnoteText"/>
      </w:pPr>
      <w:r>
        <w:t xml:space="preserve">“</w:t>
      </w:r>
      <w:r>
        <w:t xml:space="preserve">Hanged if that doesn’t clear the field!</w:t>
      </w:r>
      <w:r>
        <w:t xml:space="preserve">”</w:t>
      </w:r>
      <w:r>
        <w:t xml:space="preserve"> </w:t>
      </w:r>
      <w:r>
        <w:t xml:space="preserve">cried Sam Watson, in the greatest glee.</w:t>
      </w:r>
      <w:r>
        <w:t xml:space="preserve"> </w:t>
      </w:r>
      <w:r>
        <w:t xml:space="preserve">“</w:t>
      </w:r>
      <w:r>
        <w:t xml:space="preserve">The whole gang is busted!</w:t>
      </w:r>
      <w:r>
        <w:t xml:space="preserve">”</w:t>
      </w:r>
    </w:p>
    <w:p>
      <w:pPr>
        <w:pStyle w:val="BlockQuote"/>
        <w:pStyle w:val="FootnoteText"/>
      </w:pPr>
      <w:r>
        <w:t xml:space="preserve">“</w:t>
      </w:r>
      <w:r>
        <w:t xml:space="preserve">Yes,</w:t>
      </w:r>
      <w:r>
        <w:t xml:space="preserve">”</w:t>
      </w:r>
      <w:r>
        <w:t xml:space="preserve"> </w:t>
      </w:r>
      <w:r>
        <w:t xml:space="preserve">remarked Jack,</w:t>
      </w:r>
      <w:r>
        <w:t xml:space="preserve"> </w:t>
      </w:r>
      <w:r>
        <w:t xml:space="preserve">“</w:t>
      </w:r>
      <w:r>
        <w:t xml:space="preserve">we can lick a thousand as well as a hundred, for they can’t get in, you know.</w:t>
      </w:r>
      <w:r>
        <w:t xml:space="preserve">”</w:t>
      </w:r>
    </w:p>
    <w:p>
      <w:pPr>
        <w:pStyle w:val="BlockQuote"/>
        <w:pStyle w:val="FootnoteText"/>
      </w:pPr>
      <w:r>
        <w:t xml:space="preserve">Why in thunder and chain lightning don’t Uncle Sam buy a lot of these machines, and run ’em out here?" demanded Watson. “They’d clear the plains of red-skins so quick it would make their heads swim.</w:t>
      </w:r>
    </w:p>
    <w:p>
      <w:pPr>
        <w:pStyle w:val="FootnoteText"/>
      </w:pPr>
      <w:r>
        <w:t xml:space="preserve">Luis Senarens,</w:t>
      </w:r>
      <w:r>
        <w:t xml:space="preserve"> </w:t>
      </w:r>
      <w:r>
        <w:rPr>
          <w:i/>
        </w:rPr>
        <w:t xml:space="preserve">Frank Reade, Jr., and His Steam Wonder</w:t>
      </w:r>
      <w:r>
        <w:t xml:space="preserve">, vol. 1, Frank Reade Library 20, (New York: Frank Tousey, 1893)</w:t>
      </w:r>
      <w:r>
        <w:t xml:space="preserve">, p. 15.</w:t>
      </w:r>
    </w:p>
    <w:p>
      <w:pPr>
        <w:pStyle w:val="FootnoteText"/>
      </w:pPr>
      <w:r>
        <w:t xml:space="preserve">The dime novel paradigm is a precursor that many histories of science fiction would gladly speed past. But one wonders the degree to which this predecessor is still with the genre, considering just how many of us have played out the exact tactics of Senarens’s Steam Wonder tank scenario in SF-themed first person shooter video games.</w:t>
      </w:r>
    </w:p>
  </w:footnote>
  <w:footnote w:id="27">
    <w:p>
      <w:pPr>
        <w:pStyle w:val="FootnoteText"/>
      </w:pPr>
      <w:r>
        <w:rPr>
          <w:rStyle w:val="FootnoteRef"/>
        </w:rPr>
        <w:footnoteRef/>
      </w:r>
      <w:r>
        <w:t xml:space="preserve">Brooks Landon writes that Luis Senarens</w:t>
      </w:r>
      <w:r>
        <w:t xml:space="preserve"> </w:t>
      </w:r>
      <w:r>
        <w:t xml:space="preserve">“</w:t>
      </w:r>
      <w:r>
        <w:t xml:space="preserve">wrote between 1,500 and 2,000 dime novel stories during his prolific career,</w:t>
      </w:r>
      <w:r>
        <w:t xml:space="preserve">”</w:t>
      </w:r>
      <w:r>
        <w:t xml:space="preserve"> </w:t>
      </w:r>
      <w:r>
        <w:t xml:space="preserve">a number that Sam Moskowitz estimates to make up</w:t>
      </w:r>
      <w:r>
        <w:t xml:space="preserve"> </w:t>
      </w:r>
      <w:r>
        <w:t xml:space="preserve">“</w:t>
      </w:r>
      <w:r>
        <w:t xml:space="preserve">more than 75 per cent of all the hundreds of prophetic dime novels written during that period … the work of a single man.</w:t>
      </w:r>
      <w:r>
        <w:t xml:space="preserve">”</w:t>
      </w:r>
      <w:r>
        <w:t xml:space="preserve"> </w:t>
      </w:r>
      <w:r>
        <w:t xml:space="preserve">In 1911, Senarens transitioned to the film world, writing silent film treatments and editing</w:t>
      </w:r>
      <w:r>
        <w:t xml:space="preserve"> </w:t>
      </w:r>
      <w:r>
        <w:t xml:space="preserve">“</w:t>
      </w:r>
      <w:r>
        <w:t xml:space="preserve">one of the earlier film fan magazines,</w:t>
      </w:r>
      <w:r>
        <w:t xml:space="preserve"> </w:t>
      </w:r>
      <w:r>
        <w:rPr>
          <w:i/>
        </w:rPr>
        <w:t xml:space="preserve">Moving Picture Stories.</w:t>
      </w:r>
      <w:r>
        <w:t xml:space="preserve">”</w:t>
      </w:r>
      <w:r>
        <w:t xml:space="preserve"> </w:t>
      </w:r>
      <w:r>
        <w:t xml:space="preserve">Brooks Landon,</w:t>
      </w:r>
      <w:r>
        <w:t xml:space="preserve"> </w:t>
      </w:r>
      <w:r>
        <w:rPr>
          <w:i/>
        </w:rPr>
        <w:t xml:space="preserve">Science Fiction After 1900: from the Steam Man to the Stars</w:t>
      </w:r>
      <w:r>
        <w:t xml:space="preserve">, (Routledge, 2002)</w:t>
      </w:r>
      <w:r>
        <w:t xml:space="preserve">, p. 45.</w:t>
      </w:r>
      <w:r>
        <w:t xml:space="preserve"> </w:t>
      </w:r>
      <w:r>
        <w:t xml:space="preserve">Sam Moskowitz,</w:t>
      </w:r>
      <w:r>
        <w:t xml:space="preserve"> </w:t>
      </w:r>
      <w:r>
        <w:rPr>
          <w:i/>
        </w:rPr>
        <w:t xml:space="preserve">Explorers of the Infinite: The Shapers of Science Fiction</w:t>
      </w:r>
      <w:r>
        <w:t xml:space="preserve">, (New York: The World Publishing Company, 1963)</w:t>
      </w:r>
      <w:r>
        <w:t xml:space="preserve">, p. 108, 124.</w:t>
      </w:r>
    </w:p>
  </w:footnote>
  <w:footnote w:id="28">
    <w:p>
      <w:pPr>
        <w:pStyle w:val="FootnoteText"/>
      </w:pPr>
      <w:r>
        <w:rPr>
          <w:rStyle w:val="FootnoteRef"/>
        </w:rPr>
        <w:footnoteRef/>
      </w:r>
      <w:r>
        <w:t xml:space="preserve">In their premature eulogy to Senarens in June 1928 (Senarens actually died in December 1939 at the age of 76),</w:t>
      </w:r>
      <w:r>
        <w:t xml:space="preserve"> </w:t>
      </w:r>
      <w:r>
        <w:rPr>
          <w:i/>
        </w:rPr>
        <w:t xml:space="preserve">Amazing Stories</w:t>
      </w:r>
      <w:r>
        <w:t xml:space="preserve"> </w:t>
      </w:r>
      <w:r>
        <w:t xml:space="preserve">collapsed its celebration of his almost machine-like productivity as a writer with the number of technologies he anticipated. Senarens wasn’t just producing stories, he was creating prototypes:</w:t>
      </w:r>
      <w:r>
        <w:t xml:space="preserve"> </w:t>
      </w:r>
      <w:r>
        <w:t xml:space="preserve">“</w:t>
      </w:r>
      <w:r>
        <w:t xml:space="preserve">The centennial of the birth of Jules Verne is but a few weeks back of us, and it seems fitting to show at this time that we, too, had a Jules Verne, a man whose industry in turning out reams of copy was as remarkable, as was his ingenuity in evolving the strange machines, prototypes of so much of the present, out of his imagination, though he died unheralded and practically unknown.</w:t>
      </w:r>
      <w:r>
        <w:t xml:space="preserve">”</w:t>
      </w:r>
      <w:r>
        <w:t xml:space="preserve"> </w:t>
      </w:r>
      <w:r>
        <w:t xml:space="preserve">Quoted in</w:t>
      </w:r>
      <w:r>
        <w:t xml:space="preserve"> </w:t>
      </w:r>
      <w:r>
        <w:t xml:space="preserve">Ibid.,</w:t>
      </w:r>
      <w:r>
        <w:t xml:space="preserve"> </w:t>
      </w:r>
      <w:r>
        <w:t xml:space="preserve">, p. 109.</w:t>
      </w:r>
    </w:p>
  </w:footnote>
  <w:footnote w:id="31">
    <w:p>
      <w:pPr>
        <w:pStyle w:val="FootnoteText"/>
      </w:pPr>
      <w:r>
        <w:rPr>
          <w:rStyle w:val="FootnoteRef"/>
        </w:rPr>
        <w:footnoteRef/>
      </w:r>
      <w:r>
        <w:t xml:space="preserve">According to Sam Moskowitz, Verne first wrote a letter to Senarens in 1879, praising the author’s works.</w:t>
      </w:r>
    </w:p>
    <w:p>
      <w:pPr>
        <w:pStyle w:val="BlockQuote"/>
        <w:pStyle w:val="FootnoteText"/>
      </w:pPr>
      <w:r>
        <w:t xml:space="preserve">Verne did not know who</w:t>
      </w:r>
      <w:r>
        <w:t xml:space="preserve"> </w:t>
      </w:r>
      <w:r>
        <w:t xml:space="preserve">‘</w:t>
      </w:r>
      <w:r>
        <w:t xml:space="preserve">Noname</w:t>
      </w:r>
      <w:r>
        <w:t xml:space="preserve">’</w:t>
      </w:r>
      <w:r>
        <w:t xml:space="preserve"> </w:t>
      </w:r>
      <w:r>
        <w:t xml:space="preserve">was, but addressed his letter to the publisher, who forwarded it to Senarens. The youthful author was immensely flattered and grateful that so important a literary figure as Jules Verne should condescend to write him, but he need not have been. Verne was doing no more than acknowledging a debt, since he had just finished lifting the basic idea for the Frank Reade series</w:t>
      </w:r>
      <w:r>
        <w:t xml:space="preserve"> </w:t>
      </w:r>
      <w:r>
        <w:rPr>
          <w:i/>
        </w:rPr>
        <w:t xml:space="preserve">in toto</w:t>
      </w:r>
      <w:r>
        <w:t xml:space="preserve"> </w:t>
      </w:r>
      <w:r>
        <w:t xml:space="preserve">and incorporating it in his then current novel,</w:t>
      </w:r>
      <w:r>
        <w:t xml:space="preserve"> </w:t>
      </w:r>
      <w:r>
        <w:rPr>
          <w:i/>
        </w:rPr>
        <w:t xml:space="preserve">The Steam House.</w:t>
      </w:r>
      <w:r>
        <w:t xml:space="preserve"> </w:t>
      </w:r>
      <w:r>
        <w:t xml:space="preserve">Taking the idea of a steam man and a steam horse one step further, Jules Verne used as the basis of his story a steam elephant which carried hunters in India. … Everywhere in Europe and America writers were borrowing from Verne. Now, sometimes, he borrowed in return. In the final reckoning he gave far more than he took.</w:t>
      </w:r>
    </w:p>
    <w:p>
      <w:pPr>
        <w:pStyle w:val="FootnoteText"/>
      </w:pPr>
      <w:r>
        <w:t xml:space="preserve">Ibid.,</w:t>
      </w:r>
      <w:r>
        <w:t xml:space="preserve"> </w:t>
      </w:r>
      <w:r>
        <w:t xml:space="preserve">, p. 116.</w:t>
      </w:r>
    </w:p>
  </w:footnote>
</w:footnotes>
</file>

<file path=word/numbering.xml><?xml version="1.0" encoding="utf-8"?>
<w:numbering xmlns:w="http://schemas.openxmlformats.org/wordprocessingml/2006/main">
  <w:abstractNum w:abstractNumId="0">
    <w:nsid w:val="75cc13d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