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w:t>
      </w:r>
      <w:r>
        <w:rPr>
          <w:rStyle w:val="FootnoteRef"/>
        </w:rPr>
        <w:footnoteReference w:id="24"/>
      </w:r>
      <w:r>
        <w:t xml:space="preserve"> </w:t>
      </w:r>
      <w:r>
        <w:t xml:space="preserve">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6"/>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 [The illustration is by Howard V. Brown.]</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w:t>
      </w:r>
      <w:r>
        <w:rPr>
          <w:rStyle w:val="FootnoteRef"/>
        </w:rPr>
        <w:footnoteReference w:id="27"/>
      </w:r>
      <w:r>
        <w:t xml:space="preserve"> </w:t>
      </w:r>
      <w:r>
        <w:t xml:space="preserve">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rays may be likened to water streams, which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r>
        <w:rPr>
          <w:rStyle w:val="FootnoteRef"/>
        </w:rPr>
        <w:footnoteReference w:id="28"/>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9"/>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While Google Ngram shows</w:t>
      </w:r>
      <w:r>
        <w:t xml:space="preserve"> </w:t>
      </w:r>
      <w:r>
        <w:rPr>
          <w:i/>
        </w:rPr>
        <w:t xml:space="preserve">technic</w:t>
      </w:r>
      <w:r>
        <w:t xml:space="preserve"> </w:t>
      </w:r>
      <w:r>
        <w:t xml:space="preserve">being used over three times more often than</w:t>
      </w:r>
      <w:r>
        <w:t xml:space="preserve"> </w:t>
      </w:r>
      <w:r>
        <w:rPr>
          <w:i/>
        </w:rPr>
        <w:t xml:space="preserve">technology</w:t>
      </w:r>
      <w:r>
        <w:t xml:space="preserve"> </w:t>
      </w:r>
      <w:r>
        <w:t xml:space="preserve">in 1922, this situation changes rapidly over the next decade. In nineteenth-century English, according to Eric Schatzberg,</w:t>
      </w:r>
      <w:r>
        <w:t xml:space="preserve"> </w:t>
      </w:r>
      <w:r>
        <w:rPr>
          <w:i/>
        </w:rPr>
        <w:t xml:space="preserve">technology</w:t>
      </w:r>
      <w:r>
        <w:t xml:space="preserve"> </w:t>
      </w:r>
      <w:r>
        <w:t xml:space="preserve">referred to</w:t>
      </w:r>
      <w:r>
        <w:t xml:space="preserve"> </w:t>
      </w:r>
      <w:r>
        <w:t xml:space="preserve">“</w:t>
      </w:r>
      <w:r>
        <w:t xml:space="preserve">a field of study concerned with the practical arts; except in anomalous usage, [it] did not refer to industrial processes or artifacts.</w:t>
      </w:r>
      <w:r>
        <w:t xml:space="preserve">”</w:t>
      </w:r>
      <w:r>
        <w:t xml:space="preserve"> </w:t>
      </w:r>
      <w:r>
        <w:t xml:space="preserve">Just as sociology names the study of society, technology was the science of technique, making, the useful or practical arts. Somewhere around 1930, Schatzberg argues,</w:t>
      </w:r>
      <w:r>
        <w:t xml:space="preserve"> </w:t>
      </w:r>
      <w:r>
        <w:t xml:space="preserve">“</w:t>
      </w: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t xml:space="preserve">”</w:t>
      </w:r>
      <w:r>
        <w:t xml:space="preserve"> </w:t>
      </w:r>
      <w:r>
        <w:t xml:space="preserve">(487). 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25">
        <w:r>
          <w:rPr>
            <w:rStyle w:val="Link"/>
          </w:rPr>
          <w:t xml:space="preserve">10.1353/tech.2006.0201</w:t>
        </w:r>
      </w:hyperlink>
      <w:r>
        <w:t xml:space="preserve"/>
      </w:r>
      <w:r>
        <w:t xml:space="preserve">.</w:t>
      </w:r>
    </w:p>
  </w:footnote>
  <w:footnote w:id="27">
    <w:p>
      <w:pPr>
        <w:pStyle w:val="FootnoteText"/>
      </w:pPr>
      <w:r>
        <w:rPr>
          <w:rStyle w:val="FootnoteRef"/>
        </w:rPr>
        <w:footnoteRef/>
      </w:r>
      <w:r>
        <w:t xml:space="preserve">Quirino Majorana was an Italian physicist who published articles from 1918 to 1922 describing how he had successfully used lead and mercury shields to absorb the effects of gravity in a laboratory setting. See</w:t>
      </w:r>
      <w:r>
        <w:t xml:space="preserve"> </w:t>
      </w:r>
      <w:r>
        <w:t xml:space="preserve">Roberto de Andrade Martins, “The Search for Gravitational Absorption in the Early 20th Century,” in</w:t>
      </w:r>
      <w:r>
        <w:t xml:space="preserve"> </w:t>
      </w:r>
      <w:r>
        <w:rPr>
          <w:i/>
        </w:rPr>
        <w:t xml:space="preserve">The Expanding Worlds of General Relativity</w:t>
      </w:r>
      <w:r>
        <w:t xml:space="preserve">, ed. Jürgen Renn et al., 1998 edition., (Boston: Birkhäuser, 1998), 3–44</w:t>
      </w:r>
      <w:r>
        <w:t xml:space="preserve">.</w:t>
      </w:r>
    </w:p>
  </w:footnote>
  <w:footnote w:id="28">
    <w:p>
      <w:pPr>
        <w:pStyle w:val="FootnoteText"/>
      </w:pPr>
      <w:r>
        <w:rPr>
          <w:rStyle w:val="FootnoteRef"/>
        </w:rPr>
        <w:footnoteRef/>
      </w:r>
      <w:r>
        <w:t xml:space="preserve">Mike Ashley writes that Gernsback’s floating city is</w:t>
      </w:r>
      <w:r>
        <w:t xml:space="preserve"> </w:t>
      </w:r>
      <w:r>
        <w:t xml:space="preserve">“</w:t>
      </w:r>
      <w:r>
        <w:t xml:space="preserve">a concept one might believe inspired two later noted works of science fiction, Edmond Hamilton’s</w:t>
      </w:r>
      <w:r>
        <w:t xml:space="preserve"> </w:t>
      </w:r>
      <w:r>
        <w:t xml:space="preserve">‘</w:t>
      </w:r>
      <w:r>
        <w:t xml:space="preserve">Cities in the Air</w:t>
      </w:r>
      <w:r>
        <w:t xml:space="preserve">’</w:t>
      </w:r>
      <w:r>
        <w:t xml:space="preserve"> </w:t>
      </w:r>
      <w:r>
        <w:t xml:space="preserve">(1929) and James Blish’s</w:t>
      </w:r>
      <w:r>
        <w:t xml:space="preserve"> </w:t>
      </w:r>
      <w:r>
        <w:rPr>
          <w:i/>
        </w:rPr>
        <w:t xml:space="preserve">Earthman, Come Home</w:t>
      </w:r>
      <w:r>
        <w:t xml:space="preserve"> </w:t>
      </w:r>
      <w:r>
        <w:t xml:space="preserve">(1955), were it not that neither author knew of the article.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34.</w:t>
      </w:r>
    </w:p>
  </w:footnote>
</w:footnotes>
</file>

<file path=word/numbering.xml><?xml version="1.0" encoding="utf-8"?>
<w:numbering xmlns:w="http://schemas.openxmlformats.org/wordprocessingml/2006/main">
  <w:abstractNum w:abstractNumId="0">
    <w:nsid w:val="422d75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5" Target="http://dx.doi.org/10.1353/tech.2006.0201" TargetMode="External"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