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of broadcasting (as opposed to point-to-point communication)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 w:id="25">
    <w:p>
      <w:pPr>
        <w:pStyle w:val="FootnoteText"/>
      </w:pPr>
      <w:r>
        <w:rPr>
          <w:rStyle w:val="FootnoteRef"/>
        </w:rPr>
        <w:footnoteRef/>
      </w:r>
      <w:r>
        <w:t xml:space="preserve">For a full elaboration of this idea, see</w:t>
      </w:r>
      <w:r>
        <w:t xml:space="preserve"> </w:t>
      </w:r>
      <w:r>
        <w:rPr>
          <w:b/>
        </w:rPr>
        <w:t xml:space="preserve">Grand Opera By Wireless.</w:t>
      </w:r>
    </w:p>
  </w:footnote>
</w:footnotes>
</file>

<file path=word/numbering.xml><?xml version="1.0" encoding="utf-8"?>
<w:numbering xmlns:w="http://schemas.openxmlformats.org/wordprocessingml/2006/main">
  <w:abstractNum w:abstractNumId="0">
    <w:nsid w:val="ba990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