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Authors"/>
      </w:pPr>
      <w:r>
        <w:t xml:space="preserve">Science</w:t>
      </w:r>
      <w:r>
        <w:t xml:space="preserve"> </w:t>
      </w:r>
      <w:r>
        <w:t xml:space="preserve">and</w:t>
      </w:r>
      <w:r>
        <w:t xml:space="preserve"> </w:t>
      </w:r>
      <w:r>
        <w:t xml:space="preserve">Invention,</w:t>
      </w:r>
      <w:r>
        <w:t xml:space="preserve"> </w:t>
      </w:r>
      <w:r>
        <w:t xml:space="preserve">vol. 9</w:t>
      </w:r>
      <w:r>
        <w:t xml:space="preserve"> </w:t>
      </w:r>
      <w:r>
        <w:t xml:space="preserve">no.</w:t>
      </w:r>
      <w:r>
        <w:t xml:space="preserve"> </w:t>
      </w:r>
      <w:r>
        <w:t xml:space="preserve">12</w:t>
      </w:r>
    </w:p>
    <w:p>
      <w:pPr>
        <w:pStyle w:val="Date"/>
      </w:pPr>
      <w:r>
        <w:t xml:space="preserve">April</w:t>
      </w:r>
      <w:r>
        <w:t xml:space="preserve"> </w:t>
      </w:r>
      <w:r>
        <w:t xml:space="preserve">1922</w: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r>
        <w:rPr>
          <w:rStyle w:val="FootnoteRef"/>
        </w:rPr>
        <w:footnoteReference w:id="21"/>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r>
        <w:rPr>
          <w:rStyle w:val="FootnoteRef"/>
        </w:rPr>
        <w:footnoteReference w:id="22"/>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Though radio broadcasting became a mass cultural phenomenon in the early 1920s, with</w:t>
      </w:r>
      <w:r>
        <w:t xml:space="preserve"> </w:t>
      </w:r>
      <w:r>
        <w:t xml:space="preserve">“</w:t>
      </w:r>
      <w:r>
        <w:t xml:space="preserve">over 2 million broadcast-capable radio sets</w:t>
      </w:r>
      <w:r>
        <w:t xml:space="preserve">”</w:t>
      </w:r>
      <w:r>
        <w:t xml:space="preserve"> </w:t>
      </w:r>
      <w:r>
        <w:t xml:space="preserve">sold by the end of 1924, the technical phenomenon of broadcasting (as opposed to point-to-point communication) had been around since at least the early 1910s among small communities of amateurs. Tim Wu:</w:t>
      </w:r>
    </w:p>
    <w:p>
      <w:pPr>
        <w:pStyle w:val="BlockQuote"/>
        <w:pStyle w:val="FootnoteText"/>
      </w:pPr>
      <w:r>
        <w:t xml:space="preserve">It was amateurs, some of them teenagers, who pioneered broadcasting. They operated rudimentary radio stations, listening in to radio signals from ships at sea, chatting with fellow amateurs. They began to use the word</w:t>
      </w:r>
      <w:r>
        <w:t xml:space="preserve"> </w:t>
      </w:r>
      <w:r>
        <w:t xml:space="preserve">‘</w:t>
      </w:r>
      <w:r>
        <w:t xml:space="preserve">broadcast,</w:t>
      </w:r>
      <w:r>
        <w:t xml:space="preserve">’</w:t>
      </w:r>
      <w:r>
        <w:t xml:space="preserve"> </w:t>
      </w:r>
      <w:r>
        <w:t xml:space="preserve">which in contemporary dictionaries was defined as a seeding technique:</w:t>
      </w:r>
      <w:r>
        <w:t xml:space="preserve"> </w:t>
      </w:r>
      <w:r>
        <w:t xml:space="preserve">‘</w:t>
      </w:r>
      <w:r>
        <w:t xml:space="preserve">Cast or dispersed in all directions, as seed from the hand in sowing; widely diffused.</w:t>
      </w:r>
      <w:r>
        <w:t xml:space="preserve">’</w:t>
      </w:r>
      <w:r>
        <w:t xml:space="preserve"> </w:t>
      </w:r>
      <w:r>
        <w:t xml:space="preserve">The hobbyists imagined that radio, which had existed primarily as a means of two-way communication, could be applied to a more social form of networking, as we might say today. And the amateur needed no special equipment: it was enough simply to buy a standard radio kit.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34-35, quoting the 1913 edition of</w:t>
      </w:r>
      <w:r>
        <w:t xml:space="preserve"> </w:t>
      </w:r>
      <w:r>
        <w:rPr>
          <w:i/>
        </w:rPr>
        <w:t xml:space="preserve">Webster’s Revised Unabridged Dictionary.</w:t>
      </w:r>
    </w:p>
  </w:footnote>
  <w:footnote w:id="22">
    <w:p>
      <w:pPr>
        <w:pStyle w:val="FootnoteText"/>
      </w:pPr>
      <w:r>
        <w:rPr>
          <w:rStyle w:val="FootnoteRef"/>
        </w:rPr>
        <w:footnoteRef/>
      </w:r>
      <w:r>
        <w:t xml:space="preserve">For a full elaboration of this idea, see</w:t>
      </w:r>
      <w:r>
        <w:t xml:space="preserve"> </w:t>
      </w:r>
      <w:r>
        <w:rPr>
          <w:b/>
        </w:rPr>
        <w:t xml:space="preserve">Grand Opera By Wireless.</w:t>
      </w:r>
    </w:p>
  </w:footnote>
</w:footnotes>
</file>

<file path=word/numbering.xml><?xml version="1.0" encoding="utf-8"?>
<w:numbering xmlns:w="http://schemas.openxmlformats.org/wordprocessingml/2006/main">
  <w:abstractNum w:abstractNumId="0">
    <w:nsid w:val="6c1e4f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Science and Invention, vol. 9 no. 12</dc:creator>
</cp:coreProperties>
</file>