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1"/>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3"/>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2"/>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3">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4"/>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twentieth century, an endeavor that no concrete replica or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37d92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