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Date"/>
      </w:pPr>
      <w:r>
        <w:t xml:space="preserve">October</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r>
        <w:rPr>
          <w:rStyle w:val="FootnoteRef"/>
        </w:rPr>
        <w:footnoteReference w:id="24"/>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r>
        <w:rPr>
          <w:rStyle w:val="FootnoteRef"/>
        </w:rPr>
        <w:footnoteReference w:id="26"/>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drawing>
          <wp:inline>
            <wp:extent cx="8255000" cy="11379200"/>
            <wp:effectExtent b="0" l="0" r="0" t="0"/>
            <wp:docPr descr="" id="1" name="Picture"/>
            <a:graphic>
              <a:graphicData uri="http://schemas.openxmlformats.org/drawingml/2006/picture">
                <pic:pic>
                  <pic:nvPicPr>
                    <pic:cNvPr descr="images/si_cover_192210.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Henry Adams, confronted with the</w:t>
      </w:r>
      <w:r>
        <w:t xml:space="preserve"> </w:t>
      </w:r>
      <w:r>
        <w:t xml:space="preserve">“</w:t>
      </w:r>
      <w:r>
        <w:t xml:space="preserve">supersensual world</w:t>
      </w:r>
      <w:r>
        <w:t xml:space="preserve">”</w:t>
      </w:r>
      <w:r>
        <w:t xml:space="preserve"> </w:t>
      </w:r>
      <w:r>
        <w:t xml:space="preserve">of new electrical apparatuses on display at the 1900 Great Exposition in Paris, saw the dynamo as a</w:t>
      </w:r>
      <w:r>
        <w:t xml:space="preserve"> </w:t>
      </w:r>
      <w:r>
        <w:t xml:space="preserve">“</w:t>
      </w:r>
      <w:r>
        <w:t xml:space="preserve">symbol of infinity</w:t>
      </w:r>
      <w:r>
        <w:t xml:space="preserve">”</w:t>
      </w:r>
      <w:r>
        <w:t xml:space="preserve">:</w:t>
      </w:r>
    </w:p>
    <w:p>
      <w:pPr>
        <w:pStyle w:val="BlockQuote"/>
        <w:pStyle w:val="FootnoteText"/>
      </w:pPr>
      <w:r>
        <w:t xml:space="preserve">As he grew accustomed to the great gallery of machines, he began to feel the forty-foot dynamos as a moral force, much as the early Christians felt the Cross. The planet itself seemed less impressive, in its old-fashioned, deliberate, annual or daily revolution, than this huge wheel, revolving within arm’s length at some vertiginous speed, and barely murmuring – scarcely humming an audible warning to stand a hair’s-breadth further for respect of power – while it would not wake the baby lying close against its frame. Before the end, one began to pray to it; inherited instinct taught the natural expression of man before silent and infinite force. Among the thousand symbols of ultimate energy the dynamo was not so human as some, but it was the most expressive.</w:t>
      </w:r>
    </w:p>
    <w:p>
      <w:pPr>
        <w:pStyle w:val="FootnoteText"/>
      </w:pPr>
      <w:r>
        <w:t xml:space="preserve">Henry Adams,</w:t>
      </w:r>
      <w:r>
        <w:t xml:space="preserve"> </w:t>
      </w:r>
      <w:r>
        <w:rPr>
          <w:i/>
        </w:rPr>
        <w:t xml:space="preserve">The Education of Henry Adams</w:t>
      </w:r>
      <w:r>
        <w:t xml:space="preserve">, (Mineola: Dover Publications, 2002)</w:t>
      </w:r>
      <w:r>
        <w:t xml:space="preserve"> </w:t>
      </w:r>
      <w:r>
        <w:t xml:space="preserve">[1918], 286.</w:t>
      </w:r>
    </w:p>
    <w:p>
      <w:pPr>
        <w:pStyle w:val="FootnoteText"/>
      </w:pPr>
      <w:r>
        <w:t xml:space="preserve">Gernsback literalizes Adams’s elevation of the dynamo as the symbol of modernity by proposing the construction of a gigantic, concrete monument to the dynamo. It is illustrated elsewhere in the issue:</w:t>
      </w:r>
    </w:p>
    <w:p>
      <w:pPr>
        <w:pStyle w:val="BlockQuote"/>
        <w:pStyle w:val="FootnoteText"/>
      </w:pPr>
      <w:r>
        <w:t xml:space="preserve">In connection with our editorial of this month, we show on this page a monument dedicated to the age in which we are living. Electricity, more than anything else, has made our present civilization what it is, and if this civilization should be wiped out by war or some other cataclysm, nothing would remain to tell what Electricity did for the race during the past century.</w:t>
      </w:r>
    </w:p>
    <w:p>
      <w:pPr>
        <w:pStyle w:val="FootnoteText"/>
      </w:pPr>
      <w:r>
        <w:drawing>
          <wp:inline>
            <wp:extent cx="1676400" cy="1181100"/>
            <wp:effectExtent b="0" l="0" r="0" t="0"/>
            <wp:docPr descr="" id="1" name="Picture"/>
            <a:graphic>
              <a:graphicData uri="http://schemas.openxmlformats.org/drawingml/2006/picture">
                <pic:pic>
                  <pic:nvPicPr>
                    <pic:cNvPr descr="images/dynamo_si_192210.jpg" id="0" name="Picture"/>
                    <pic:cNvPicPr>
                      <a:picLocks noChangeArrowheads="1" noChangeAspect="1"/>
                    </pic:cNvPicPr>
                  </pic:nvPicPr>
                  <pic:blipFill>
                    <a:blip r:embed="rId27"/>
                    <a:stretch>
                      <a:fillRect/>
                    </a:stretch>
                  </pic:blipFill>
                  <pic:spPr bwMode="auto">
                    <a:xfrm>
                      <a:off x="0" y="0"/>
                      <a:ext cx="1676400" cy="1181100"/>
                    </a:xfrm>
                    <a:prstGeom prst="rect">
                      <a:avLst/>
                    </a:prstGeom>
                    <a:noFill/>
                    <a:ln w="9525">
                      <a:noFill/>
                      <a:headEnd/>
                      <a:tailEnd/>
                    </a:ln>
                  </pic:spPr>
                </pic:pic>
              </a:graphicData>
            </a:graphic>
          </wp:inline>
        </w:drawing>
      </w:r>
      <w:r>
        <w:t xml:space="preserve"> </w:t>
      </w:r>
    </w:p>
    <w:p>
      <w:pPr>
        <w:pStyle w:val="FootnoteText"/>
      </w:pPr>
      <w:r>
        <w:t xml:space="preserve">Though Gernsback hopes that such a monument would allow future civilizations to</w:t>
      </w:r>
      <w:r>
        <w:t xml:space="preserve"> </w:t>
      </w:r>
      <w:r>
        <w:t xml:space="preserve">“</w:t>
      </w:r>
      <w:r>
        <w:t xml:space="preserve">read what has gone on before,</w:t>
      </w:r>
      <w:r>
        <w:t xml:space="preserve">”</w:t>
      </w:r>
      <w:r>
        <w:t xml:space="preserve"> </w:t>
      </w:r>
      <w:r>
        <w:t xml:space="preserve">he perhaps misses an important point raised by Adams. These new machines amounted to a</w:t>
      </w:r>
      <w:r>
        <w:t xml:space="preserve"> </w:t>
      </w:r>
      <w:r>
        <w:t xml:space="preserve">“</w:t>
      </w:r>
      <w:r>
        <w:t xml:space="preserve">break of continuity,</w:t>
      </w:r>
      <w:r>
        <w:t xml:space="preserve">”</w:t>
      </w:r>
      <w:r>
        <w:t xml:space="preserve"> </w:t>
      </w:r>
      <w:r>
        <w:t xml:space="preserve">an</w:t>
      </w:r>
      <w:r>
        <w:t xml:space="preserve"> </w:t>
      </w:r>
      <w:r>
        <w:t xml:space="preserve">“</w:t>
      </w:r>
      <w:r>
        <w:t xml:space="preserve">abysmal fracture for a historian’s objects.</w:t>
      </w:r>
      <w:r>
        <w:t xml:space="preserve">”</w:t>
      </w:r>
      <w:r>
        <w:t xml:space="preserve"> </w:t>
      </w:r>
      <w:r>
        <w:t xml:space="preserve">Adams, himself a historian, foresees that the historian or archaeologist of the future would thus have to use an entirely new set of methods to understand the technological infrastructures of the past, an endeavor that no concrete monument would help, no matter how massive:</w:t>
      </w:r>
    </w:p>
    <w:p>
      <w:pPr>
        <w:pStyle w:val="BlockQuote"/>
        <w:pStyle w:val="FootnoteText"/>
      </w:pPr>
      <w:r>
        <w:t xml:space="preserve">No more relation could he discover between the steam and the electric current than between the Cross and the cathedral. The forces were interchangeable if not reversible, but he could see only an absolute</w:t>
      </w:r>
      <w:r>
        <w:t xml:space="preserve"> </w:t>
      </w:r>
      <w:r>
        <w:rPr>
          <w:i/>
        </w:rPr>
        <w:t xml:space="preserve">fiat</w:t>
      </w:r>
      <w:r>
        <w:t xml:space="preserve"> </w:t>
      </w:r>
      <w:r>
        <w:t xml:space="preserve">in electricity as faith. … A historian who asked only to learn enough to be as futile as Langley or Kelvin, made rapid progress under his teaching, and mixed himself up in the tangle of ideas until he achieved a sort of Paradise of ignorance vastly consoling to his fatigued senses. He wrapped himself in vibrations and rays which were new, and he would have hugged Marconi and Branly had he met them, as he hugged the dynamo; while he lost his arithmetic in trying to figure out hte equation between the discoveries and the economies of force.</w:t>
      </w:r>
    </w:p>
    <w:p>
      <w:pPr>
        <w:pStyle w:val="FootnoteText"/>
      </w:pPr>
      <w:r>
        <w:t xml:space="preserve">Ibid.,</w:t>
      </w:r>
      <w:r>
        <w:t xml:space="preserve"> </w:t>
      </w:r>
      <w:r>
        <w:t xml:space="preserve"> </w:t>
      </w:r>
      <w:r>
        <w:t xml:space="preserve">[1918], 286-7.</w:t>
      </w:r>
    </w:p>
  </w:footnote>
</w:footnotes>
</file>

<file path=word/numbering.xml><?xml version="1.0" encoding="utf-8"?>
<w:numbering xmlns:w="http://schemas.openxmlformats.org/wordprocessingml/2006/main">
  <w:abstractNum w:abstractNumId="0">
    <w:nsid w:val="2f7545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
</cp:coreProperties>
</file>