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1"/>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r>
        <w:rPr>
          <w:rStyle w:val="FootnoteRef"/>
        </w:rPr>
        <w:footnoteReference w:id="22"/>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23"/>
      </w:r>
      <w:r>
        <w:t xml:space="preserve"> </w:t>
      </w:r>
      <w:r>
        <w:t xml:space="preserve">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w:t>
      </w:r>
      <w:r>
        <w:t xml:space="preserve"> </w:t>
      </w:r>
      <w:r>
        <w:rPr>
          <w:i/>
        </w:rPr>
        <w:t xml:space="preserve">What is a radio amateur?</w:t>
      </w:r>
      <w:r>
        <w:t xml:space="preserve"> </w:t>
      </w:r>
      <w:r>
        <w:t xml:space="preserve">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4" w:name="prize-winners"/>
    <w:p>
      <w:pPr>
        <w:pStyle w:val="Heading1"/>
      </w:pPr>
      <w:r>
        <w:t xml:space="preserve">PRIZE WINNERS</w:t>
      </w:r>
    </w:p>
    <w:bookmarkEnd w:id="24"/>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5" w:name="honorable-mention"/>
    <w:p>
      <w:pPr>
        <w:pStyle w:val="Heading1"/>
      </w:pPr>
      <w:r>
        <w:t xml:space="preserve">HONORABLE MENTION:</w:t>
      </w:r>
    </w:p>
    <w:bookmarkEnd w:id="25"/>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w:t>
      </w:r>
      <w:r>
        <w:rPr>
          <w:rStyle w:val="FootnoteRef"/>
        </w:rPr>
        <w:footnoteReference w:id="26"/>
      </w:r>
      <w:r>
        <w:t xml:space="preserve"> </w:t>
      </w:r>
      <w:r>
        <w:t xml:space="preserve">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27"/>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28"/>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9" w:name="is-the-radio-amateur-doomed"/>
    <w:p>
      <w:pPr>
        <w:pStyle w:val="Heading1"/>
      </w:pPr>
      <w:r>
        <w:t xml:space="preserve">Is the Radio Amateur Doomed?</w:t>
      </w:r>
    </w:p>
    <w:bookmarkEnd w:id="29"/>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0"/>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1"/>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for the new era. Let us ban, as quickly as possible, by example and advice, the spark transmitter. Let’s push C.W.</w:t>
      </w:r>
      <w:r>
        <w:rPr>
          <w:rStyle w:val="FootnoteRef"/>
        </w:rPr>
        <w:footnoteReference w:id="32"/>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3"/>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4"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4"/>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35"/>
      </w:r>
      <w:r>
        <w:t xml:space="preserve"> </w:t>
      </w:r>
      <w:r>
        <w:t xml:space="preserve">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6"/>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7"/>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39" w:name="the-radio-amateur"/>
    <w:p>
      <w:pPr>
        <w:pStyle w:val="Heading1"/>
      </w:pPr>
      <w:r>
        <w:t xml:space="preserve">The Radio Amateur</w:t>
      </w:r>
    </w:p>
    <w:bookmarkEnd w:id="39"/>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Armstrong Perry, who had previously written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w:t>
      </w:r>
    </w:p>
    <w:p>
      <w:pPr>
        <w:pStyle w:val="FootnoteText"/>
      </w:pPr>
      <w:r>
        <w:t xml:space="preserve">Perry would go on to publish short fiction about radio operators in</w:t>
      </w:r>
      <w:r>
        <w:t xml:space="preserve"> </w:t>
      </w:r>
      <w:r>
        <w:rPr>
          <w:i/>
        </w:rPr>
        <w:t xml:space="preserve">Radio News,</w:t>
      </w:r>
      <w:r>
        <w:t xml:space="preserve"> </w:t>
      </w:r>
      <w:r>
        <w:t xml:space="preserve">albeit of a non-speculative type. See for instance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2">
    <w:p>
      <w:pPr>
        <w:pStyle w:val="FootnoteText"/>
      </w:pPr>
      <w:r>
        <w:rPr>
          <w:rStyle w:val="FootnoteRef"/>
        </w:rPr>
        <w:footnoteRef/>
      </w:r>
      <w:r>
        <w:t xml:space="preserve">Messages sent without a fee were significant, as commercial stations could charge more than a dollar per word for a wireless telegraph transmission.</w:t>
      </w:r>
    </w:p>
  </w:footnote>
  <w:footnote w:id="23">
    <w:p>
      <w:pPr>
        <w:pStyle w:val="FootnoteText"/>
      </w:pPr>
      <w:r>
        <w:rPr>
          <w:rStyle w:val="FootnoteRef"/>
        </w:rPr>
        <w:footnoteRef/>
      </w:r>
      <w:r>
        <w:t xml:space="preserve">Gernsback was a great critic of Daniels, who attempted to maintain Naval control over all civilian airwaves after the war. See</w:t>
      </w:r>
      <w:r>
        <w:t xml:space="preserve"> </w:t>
      </w:r>
      <w:r>
        <w:rPr>
          <w:b/>
        </w:rPr>
        <w:t xml:space="preserve">Amateur Radio Restored.</w:t>
      </w:r>
    </w:p>
  </w:footnote>
  <w:footnote w:id="26">
    <w:p>
      <w:pPr>
        <w:pStyle w:val="FootnoteText"/>
      </w:pPr>
      <w:r>
        <w:rPr>
          <w:rStyle w:val="FootnoteRef"/>
        </w:rPr>
        <w:footnoteRef/>
      </w:r>
      <w:r>
        <w:t xml:space="preserve">“</w:t>
      </w:r>
      <w:r>
        <w:t xml:space="preserve">Brickbats</w:t>
      </w:r>
      <w:r>
        <w:t xml:space="preserve">”</w:t>
      </w:r>
      <w:r>
        <w:t xml:space="preserve"> </w:t>
      </w:r>
      <w:r>
        <w:t xml:space="preserve">was a slang term for insults or criticisms that became a favorite among science fiction fans and readers in their letters to the editor later in the 1920s and 30s.</w:t>
      </w:r>
    </w:p>
  </w:footnote>
  <w:footnote w:id="28">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0">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w:t>
      </w:r>
    </w:p>
    <w:p>
      <w:pPr>
        <w:pStyle w:val="FootnoteText"/>
      </w:pPr>
      <w:r>
        <w:t xml:space="preserve">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1">
    <w:p>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2">
    <w:p>
      <w:pPr>
        <w:pStyle w:val="FootnoteText"/>
      </w:pPr>
      <w:r>
        <w:rPr>
          <w:rStyle w:val="FootnoteRef"/>
        </w:rPr>
        <w:footnoteRef/>
      </w:r>
      <w:r>
        <w:t xml:space="preserve">An abbreviation for continuous wave, a form of radio transmission that gradually came to replace the noisy and interference-producing spark gap transmission systems favored by amateurs in the 1910s.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3">
    <w:p>
      <w:pPr>
        <w:pStyle w:val="FootnoteText"/>
      </w:pPr>
      <w:r>
        <w:rPr>
          <w:rStyle w:val="FootnoteRef"/>
        </w:rPr>
        <w:footnoteRef/>
      </w:r>
      <w:r>
        <w:t xml:space="preserve">DXing is the practice of listening for and identifying transmissions from as far away as possible.</w:t>
      </w:r>
    </w:p>
  </w:footnote>
  <w:footnote w:id="35">
    <w:p>
      <w:pPr>
        <w:pStyle w:val="FootnoteText"/>
      </w:pPr>
      <w:r>
        <w:rPr>
          <w:rStyle w:val="FootnoteRef"/>
        </w:rPr>
        <w:footnoteRef/>
      </w:r>
      <w:r>
        <w:t xml:space="preserve">“</w:t>
      </w:r>
      <w:r>
        <w:t xml:space="preserve">Talking machine</w:t>
      </w:r>
      <w:r>
        <w:t xml:space="preserve">”</w:t>
      </w:r>
      <w:r>
        <w:t xml:space="preserve"> </w:t>
      </w:r>
      <w:r>
        <w:t xml:space="preserve">was the name the Victor Company used for their record players.</w:t>
      </w:r>
    </w:p>
  </w:footnote>
  <w:footnote w:id="36">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7">
    <w:p>
      <w:pPr>
        <w:pStyle w:val="FootnoteText"/>
      </w:pPr>
      <w:r>
        <w:rPr>
          <w:rStyle w:val="FootnoteRef"/>
        </w:rPr>
        <w:footnoteRef/>
      </w:r>
      <w:r>
        <w:t xml:space="preserve">Unfortunately, it seemed no such organization was ever formed. In the first half of the twentieth century, Eric Hintz writes,</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38">
        <w:r>
          <w:rPr>
            <w:rStyle w:val="Link"/>
          </w:rPr>
          <w:t xml:space="preserve">http://muse.jhu.edu/journals/enterprise_and_society/v012/12.4.hintz.html</w:t>
        </w:r>
      </w:hyperlink>
      <w:r>
        <w:t xml:space="preserve"/>
      </w:r>
      <w:r>
        <w:t xml:space="preserve">, 745.</w:t>
      </w:r>
    </w:p>
  </w:footnote>
</w:footnotes>
</file>

<file path=word/numbering.xml><?xml version="1.0" encoding="utf-8"?>
<w:numbering xmlns:w="http://schemas.openxmlformats.org/wordprocessingml/2006/main">
  <w:abstractNum w:abstractNumId="0">
    <w:nsid w:val="b7ea75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cc5c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38" Target="http://muse.jhu.edu/journals/enterprise_and_society/v012/12.4.hintz.html" TargetMode="External" /></Relationships>
</file>

<file path=word/_rels/footnotes.xml.rels><?xml version="1.0" encoding="UTF-8"?>
<Relationships xmlns="http://schemas.openxmlformats.org/package/2006/relationships"><Relationship Type="http://schemas.openxmlformats.org/officeDocument/2006/relationships/hyperlink" Id="rId38" Target="http://muse.jhu.edu/journals/enterprise_and_society/v012/12.4.hintz.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