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 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rPr>
          <w:rStyle w:val="FootnoteRef"/>
        </w:rPr>
        <w:footnoteReference w:id="25"/>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 *What is a radio amateur?“* 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28" w:name="prize-winners"/>
    <w:p>
      <w:pPr>
        <w:pStyle w:val="Heading1"/>
      </w:pPr>
      <w:r>
        <w:t xml:space="preserve">PRIZE WINNERS</w:t>
      </w:r>
    </w:p>
    <w:bookmarkEnd w:id="28"/>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29" w:name="honorable-mention"/>
    <w:p>
      <w:pPr>
        <w:pStyle w:val="Heading1"/>
      </w:pPr>
      <w:r>
        <w:t xml:space="preserve">HONORABLE MENTION:</w:t>
      </w:r>
    </w:p>
    <w:bookmarkEnd w:id="29"/>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 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drawing>
          <wp:inline>
            <wp:extent cx="8255000" cy="11074400"/>
            <wp:effectExtent b="0" l="0" r="0" t="0"/>
            <wp:docPr descr="" id="1" name="Picture"/>
            <a:graphic>
              <a:graphicData uri="http://schemas.openxmlformats.org/drawingml/2006/picture">
                <pic:pic>
                  <pic:nvPicPr>
                    <pic:cNvPr descr="images/rn_cover_192302.jpg" id="0" name="Picture"/>
                    <pic:cNvPicPr>
                      <a:picLocks noChangeArrowheads="1" noChangeAspect="1"/>
                    </pic:cNvPicPr>
                  </pic:nvPicPr>
                  <pic:blipFill>
                    <a:blip r:embed="rId30"/>
                    <a:stretch>
                      <a:fillRect/>
                    </a:stretch>
                  </pic:blipFill>
                  <pic:spPr bwMode="auto">
                    <a:xfrm>
                      <a:off x="0" y="0"/>
                      <a:ext cx="8255000" cy="11074400"/>
                    </a:xfrm>
                    <a:prstGeom prst="rect">
                      <a:avLst/>
                    </a:prstGeom>
                    <a:noFill/>
                    <a:ln w="9525">
                      <a:noFill/>
                      <a:headEnd/>
                      <a:tailEnd/>
                    </a:ln>
                  </pic:spPr>
                </pic:pic>
              </a:graphicData>
            </a:graphic>
          </wp:inline>
        </w:drawing>
      </w:r>
    </w:p>
    <w:p>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31"/>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32" w:name="is-the-radio-amateur-doomed"/>
    <w:p>
      <w:pPr>
        <w:pStyle w:val="Heading1"/>
      </w:pPr>
      <w:r>
        <w:t xml:space="preserve">Is the Radio Amateur Doomed?</w:t>
      </w:r>
    </w:p>
    <w:bookmarkEnd w:id="32"/>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33"/>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4"/>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fro the new era. Let us ban, as quickly as possible, by example and advice, the spark transmitter. Let’s push C.W.</w:t>
      </w:r>
      <w:r>
        <w:rPr>
          <w:rStyle w:val="FootnoteRef"/>
        </w:rPr>
        <w:footnoteReference w:id="35"/>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6"/>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37"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37"/>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 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38"/>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39"/>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40" w:name="the-radio-amateur"/>
    <w:p>
      <w:pPr>
        <w:pStyle w:val="Heading1"/>
      </w:pPr>
      <w:r>
        <w:t xml:space="preserve">The Radio Amateur</w:t>
      </w:r>
    </w:p>
    <w:bookmarkEnd w:id="40"/>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who had previously written news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Lodge argues that the theory of the luminiferous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 Perry would go on to publish short fiction about radio operators in</w:t>
      </w:r>
      <w:r>
        <w:t xml:space="preserve"> </w:t>
      </w:r>
      <w:r>
        <w:rPr>
          <w:i/>
        </w:rPr>
        <w:t xml:space="preserve">Radio News,</w:t>
      </w:r>
      <w:r>
        <w:t xml:space="preserve"> </w:t>
      </w:r>
      <w:r>
        <w:t xml:space="preserve">albeit of a non-speculative type.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5">
    <w:p>
      <w:pPr>
        <w:pStyle w:val="FootnoteText"/>
      </w:pPr>
      <w:r>
        <w:rPr>
          <w:rStyle w:val="FootnoteRef"/>
        </w:rPr>
        <w:footnoteRef/>
      </w:r>
      <w:r>
        <w:t xml:space="preserve">Though Gernsback is obviously trying to stir up his readership, this article touches on a very real anxiety about the role of the amateur in a world of increasingly professionalized engineering and invention. But historian of technology Eric S. Hintz argues that despite commonly accepted wisdom, independent inventors continued to be a source of viable innovations well into the twentieth century, when corporate research and development was gradually beginning to take on greater importance. Well after the</w:t>
      </w:r>
      <w:r>
        <w:t xml:space="preserve"> </w:t>
      </w:r>
      <w:r>
        <w:t xml:space="preserve">“</w:t>
      </w:r>
      <w:r>
        <w:t xml:space="preserve">heroic</w:t>
      </w:r>
      <w:r>
        <w:t xml:space="preserve">”</w:t>
      </w:r>
      <w:r>
        <w:t xml:space="preserve"> </w:t>
      </w:r>
      <w:r>
        <w:t xml:space="preserve">era of inventors like Thomas Edison and Alexander Graham Bell,</w:t>
      </w:r>
    </w:p>
    <w:p>
      <w:pPr>
        <w:pStyle w:val="BlockQuote"/>
        <w:pStyle w:val="FootnoteText"/>
      </w:pPr>
      <w:r>
        <w:t xml:space="preserve">lesser-known</w:t>
      </w:r>
      <w:r>
        <w:t xml:space="preserve"> </w:t>
      </w:r>
      <w:r>
        <w:t xml:space="preserve">“</w:t>
      </w:r>
      <w:r>
        <w:t xml:space="preserve">post-heroic</w:t>
      </w:r>
      <w:r>
        <w:t xml:space="preserve">”</w:t>
      </w:r>
      <w:r>
        <w:t xml:space="preserve"> </w:t>
      </w:r>
      <w:r>
        <w:t xml:space="preserve">inventors continued to contribute many important innovations throughout the twentieth century, among them Ruben’s mercury battery, Edwin Land’s Polaroid film, and Chester Carlson’s Xerox photocopying process. … There is certainly no denying the importance of science-based R&amp;D at firms like GE, AT&amp;T, and DuPont, but vertically integrated industrial research was not the only path to successful innovation. Small and medium-sized firms often pursued innovation strategies—licensing independent inventors, hiring consultants, and outsourcing inventions—that were much different from the ones followed by bigger firms. In this case, the P.R. Mallory Company followed a mixed innovation strategy to commercial success: developing a long-term relationship with independent inventor Samuel Ruben and licensing his patents, while simultaneously investing in its own scientific research laboratories.</w:t>
      </w:r>
    </w:p>
    <w:p>
      <w:pPr>
        <w:pStyle w:val="FootnoteText"/>
      </w:pPr>
      <w:r>
        <w:t xml:space="preserve">Eric S. Hintz, “Portable Power: Inventor Samuel Ruben and the Birth of Duracell,”</w:t>
      </w:r>
      <w:r>
        <w:t xml:space="preserve"> </w:t>
      </w:r>
      <w:r>
        <w:rPr>
          <w:i/>
        </w:rPr>
        <w:t xml:space="preserve">Technology and Culture</w:t>
      </w:r>
      <w:r>
        <w:t xml:space="preserve">, 50, no. 1, (2009): 24–57, doi:</w:t>
      </w:r>
      <w:hyperlink r:id="rId26">
        <w:r>
          <w:rPr>
            <w:rStyle w:val="Link"/>
          </w:rPr>
          <w:t xml:space="preserve">10.1353/tech.0.0203</w:t>
        </w:r>
      </w:hyperlink>
      <w:r>
        <w:t xml:space="preserve"/>
      </w:r>
      <w:r>
        <w:t xml:space="preserve">, 26-7, 56. See also</w:t>
      </w:r>
      <w:r>
        <w:t xml:space="preserve"> </w:t>
      </w: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27">
        <w:r>
          <w:rPr>
            <w:rStyle w:val="Link"/>
          </w:rPr>
          <w:t xml:space="preserve">http://muse.jhu.edu/journals/enterprise_and_society/v012/12.4.hintz.html</w:t>
        </w:r>
      </w:hyperlink>
      <w:r>
        <w:t xml:space="preserve"/>
      </w:r>
      <w:r>
        <w:t xml:space="preserve"> </w:t>
      </w:r>
      <w:r>
        <w:t xml:space="preserve">for a chart showing that patents issued to independent inventors outnumbered corporate patents until 1933 and</w:t>
      </w:r>
      <w:r>
        <w:t xml:space="preserve"> </w:t>
      </w:r>
      <w:r>
        <w:t xml:space="preserve">“</w:t>
      </w:r>
      <w:r>
        <w:t xml:space="preserve">still represented nearly 50 percent of total patents throughout the 1950s.</w:t>
      </w:r>
      <w:r>
        <w:t xml:space="preserve">”</w:t>
      </w:r>
    </w:p>
  </w:footnote>
  <w:footnote w:id="31">
    <w:p>
      <w:pPr>
        <w:pStyle w:val="FootnoteText"/>
      </w:pPr>
      <w:r>
        <w:rPr>
          <w:rStyle w:val="FootnoteRef"/>
        </w:rPr>
        <w:footnoteRef/>
      </w:r>
      <w:r>
        <w:t xml:space="preserve">One of the problems with the 1912 Radio Act’s restriction of amateur radio operators to wavelengths of 200 meters or less was that early sets</w:t>
      </w:r>
      <w:r>
        <w:t xml:space="preserve"> </w:t>
      </w:r>
      <w:r>
        <w:t xml:space="preserve">“</w:t>
      </w:r>
      <w:r>
        <w:t xml:space="preserve">could not always adhere to a wavelength with any degree of accuracy and receivers also experienced drift.</w:t>
      </w:r>
      <w:r>
        <w:t xml:space="preserve">”</w:t>
      </w:r>
      <w:r>
        <w:t xml:space="preserve"> </w:t>
      </w:r>
      <w:r>
        <w:t xml:space="preserve">Under the leadership of Herbert Hoover, the Department of Commerce sought to further limit not just the range but the content of amateur activities on the airwaves with the following line inserted into amateur radio station licenses in 1922:</w:t>
      </w:r>
    </w:p>
    <w:p>
      <w:pPr>
        <w:pStyle w:val="BlockQuote"/>
        <w:pStyle w:val="FootnoteText"/>
      </w:pPr>
      <w:r>
        <w:t xml:space="preserve">This station is not licesned to broadcast weather reports, market reports, music, concerts, speeches, news, or similar information or entertainments."</w:t>
      </w:r>
    </w:p>
    <w:p>
      <w:pPr>
        <w:pStyle w:val="FootnoteText"/>
      </w:pPr>
      <w:r>
        <w:t xml:space="preserve">Marvin R. Bensman,</w:t>
      </w:r>
      <w:r>
        <w:t xml:space="preserve"> </w:t>
      </w:r>
      <w:r>
        <w:rPr>
          <w:i/>
        </w:rPr>
        <w:t xml:space="preserve">The Beginning of Broadcast Regulation in the Twentieth Century</w:t>
      </w:r>
      <w:r>
        <w:t xml:space="preserve">, (McFarland, 2000)</w:t>
      </w:r>
      <w:r>
        <w:t xml:space="preserve">, 41.</w:t>
      </w:r>
    </w:p>
  </w:footnote>
  <w:footnote w:id="33">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 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 and inaugurated what Susan Douglas calls the</w:t>
      </w:r>
      <w:r>
        <w:t xml:space="preserve"> </w:t>
      </w:r>
      <w:r>
        <w:t xml:space="preserve">“</w:t>
      </w:r>
      <w:r>
        <w:t xml:space="preserve">broadcasting boom</w:t>
      </w:r>
      <w:r>
        <w:t xml:space="preserve">”</w:t>
      </w:r>
      <w:r>
        <w:t xml:space="preserve"> </w:t>
      </w:r>
      <w:r>
        <w:t xml:space="preserve">in the early 1920s.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4">
    <w:p>
      <w:pPr>
        <w:pStyle w:val="FootnoteText"/>
      </w:pPr>
      <w:r>
        <w:rPr>
          <w:rStyle w:val="FootnoteRef"/>
        </w:rPr>
        <w:footnoteRef/>
      </w:r>
      <w:r>
        <w:t xml:space="preserve">The debate between Congressional Representative Wallace White of Maine and Senator Clarence Dill from Washington over the regulation of the airwaves produced the Federal Radio Commission in 1927, which became the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5">
    <w:p>
      <w:pPr>
        <w:pStyle w:val="FootnoteText"/>
      </w:pPr>
      <w:r>
        <w:rPr>
          <w:rStyle w:val="FootnoteRef"/>
        </w:rPr>
        <w:footnoteRef/>
      </w:r>
      <w:r>
        <w:t xml:space="preserve">An abbreviation for continuous wave, a form of radio transmission that gradually came to replace the noisy and interference-producing spark-gap transmission systems favored by amateurs in the 1920s and 30s.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6">
    <w:p>
      <w:pPr>
        <w:pStyle w:val="FootnoteText"/>
      </w:pPr>
      <w:r>
        <w:rPr>
          <w:rStyle w:val="FootnoteRef"/>
        </w:rPr>
        <w:footnoteRef/>
      </w:r>
      <w:r>
        <w:t xml:space="preserve">DXing is the practice of listening for and identifying transmissions from as far away as possible.</w:t>
      </w:r>
    </w:p>
  </w:footnote>
  <w:footnote w:id="38">
    <w:p>
      <w:pPr>
        <w:pStyle w:val="FootnoteText"/>
      </w:pPr>
      <w:r>
        <w:rPr>
          <w:rStyle w:val="FootnoteRef"/>
        </w:rPr>
        <w:footnoteRef/>
      </w:r>
      <w:r>
        <w:t xml:space="preserve">Christopher Sterling and John Kittross credit John V.L. Hogan, an assistant to Lee de Forest, with the invention of</w:t>
      </w:r>
      <w:r>
        <w:t xml:space="preserve"> </w:t>
      </w:r>
      <w:r>
        <w:t xml:space="preserve">“</w:t>
      </w:r>
      <w:r>
        <w:t xml:space="preserve">uni-tuning</w:t>
      </w:r>
      <w:r>
        <w:t xml:space="preserve">”</w:t>
      </w:r>
      <w:r>
        <w:t xml:space="preserve"> </w:t>
      </w:r>
      <w:r>
        <w:t xml:space="preserve">receivers in 1927, radios that needed only one knob to move between frequencies. Previously, tuning required multiple knobs that controlled several stages of reception, including radio frequency, the detector, and audio frequency amplification.</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91. As Susan J. Douglas writes,</w:t>
      </w:r>
      <w:r>
        <w:t xml:space="preserve"> </w:t>
      </w:r>
      <w:r>
        <w:t xml:space="preserve">“</w:t>
      </w:r>
      <w:r>
        <w:t xml:space="preserve">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w:t>
      </w:r>
      <w:r>
        <w:t xml:space="preserve">”</w:t>
      </w:r>
      <w:r>
        <w:t xml:space="preserve"> </w:t>
      </w:r>
      <w:r>
        <w:t xml:space="preserve">Douglas,</w:t>
      </w:r>
      <w:r>
        <w:t xml:space="preserve"> </w:t>
      </w:r>
      <w:r>
        <w:rPr>
          <w:i/>
        </w:rPr>
        <w:t xml:space="preserve">Listening In</w:t>
      </w:r>
      <w:r>
        <w:t xml:space="preserve"/>
      </w:r>
      <w:r>
        <w:t xml:space="preserve">, 71.</w:t>
      </w:r>
    </w:p>
  </w:footnote>
  <w:footnote w:id="39">
    <w:p>
      <w:pPr>
        <w:pStyle w:val="FootnoteText"/>
      </w:pPr>
      <w:r>
        <w:rPr>
          <w:rStyle w:val="FootnoteRef"/>
        </w:rPr>
        <w:footnoteRef/>
      </w:r>
      <w:r>
        <w:t xml:space="preserve">Unfortunately, it seemed no such organization was ever formed. Focusing on the first half of the twentieth century, Eric Hintz writes that</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Hintz, “The Post-Heroic Generation.</w:t>
      </w:r>
      <w:r>
        <w:t xml:space="preserve">, 745.</w:t>
      </w:r>
    </w:p>
  </w:footnote>
</w:footnotes>
</file>

<file path=word/numbering.xml><?xml version="1.0" encoding="utf-8"?>
<w:numbering xmlns:w="http://schemas.openxmlformats.org/wordprocessingml/2006/main">
  <w:abstractNum w:abstractNumId="0">
    <w:nsid w:val="13d82c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5f1bb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