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rPr>
          <w:rStyle w:val="FootnoteRef"/>
        </w:rPr>
        <w:footnoteReference w:id="25"/>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8" w:name="prize-winners"/>
    <w:p>
      <w:pPr>
        <w:pStyle w:val="Heading1"/>
      </w:pPr>
      <w:r>
        <w:t xml:space="preserve">PRIZE WINNERS</w:t>
      </w:r>
    </w:p>
    <w:bookmarkEnd w:id="28"/>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9" w:name="honorable-mention"/>
    <w:p>
      <w:pPr>
        <w:pStyle w:val="Heading1"/>
      </w:pPr>
      <w:r>
        <w:t xml:space="preserve">HONORABLE MENTION:</w:t>
      </w:r>
    </w:p>
    <w:bookmarkEnd w:id="29"/>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30"/>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31"/>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32" w:name="is-the-radio-amateur-doomed"/>
    <w:p>
      <w:pPr>
        <w:pStyle w:val="Heading1"/>
      </w:pPr>
      <w:r>
        <w:t xml:space="preserve">Is the Radio Amateur Doomed?</w:t>
      </w:r>
    </w:p>
    <w:bookmarkEnd w:id="32"/>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3"/>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4"/>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w:t>
      </w:r>
      <w:r>
        <w:rPr>
          <w:rStyle w:val="FootnoteRef"/>
        </w:rPr>
        <w:footnoteReference w:id="35"/>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6"/>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7"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7"/>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8"/>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9"/>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40" w:name="the-radio-amateur"/>
    <w:p>
      <w:pPr>
        <w:pStyle w:val="Heading1"/>
      </w:pPr>
      <w:r>
        <w:t xml:space="preserve">The Radio Amateur</w:t>
      </w:r>
    </w:p>
    <w:bookmarkEnd w:id="40"/>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who had previously written news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 Perry would go on to publish short fiction about radio operators in</w:t>
      </w:r>
      <w:r>
        <w:t xml:space="preserve"> </w:t>
      </w:r>
      <w:r>
        <w:rPr>
          <w:i/>
        </w:rPr>
        <w:t xml:space="preserve">Radio News,</w:t>
      </w:r>
      <w:r>
        <w:t xml:space="preserve"> </w:t>
      </w:r>
      <w:r>
        <w:t xml:space="preserve">albeit of a non-speculative type.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5">
    <w:p>
      <w:pPr>
        <w:pStyle w:val="FootnoteText"/>
      </w:pPr>
      <w:r>
        <w:rPr>
          <w:rStyle w:val="FootnoteRef"/>
        </w:rPr>
        <w:footnoteRef/>
      </w:r>
      <w:r>
        <w:t xml:space="preserve">Though Gernsback is obviously trying to stir up his readership, this article touches on a very real anxiety about the role of the amateur in a world of increasingly professionalized engineering and invention. But historian of technology Eric S. Hintz argues that despite commonly accepted wisdom, independent inventors continued to be a source of viable innovations well into the twentieth century, when corporate research and development was gradually beginning to take on greater importance. Well after the</w:t>
      </w:r>
      <w:r>
        <w:t xml:space="preserve"> </w:t>
      </w:r>
      <w:r>
        <w:t xml:space="preserve">“</w:t>
      </w:r>
      <w:r>
        <w:t xml:space="preserve">heroic</w:t>
      </w:r>
      <w:r>
        <w:t xml:space="preserve">”</w:t>
      </w:r>
      <w:r>
        <w:t xml:space="preserve"> </w:t>
      </w:r>
      <w:r>
        <w:t xml:space="preserve">era of inventors like Thomas Edison and Alexander Graham Bell,</w:t>
      </w:r>
    </w:p>
    <w:p>
      <w:pPr>
        <w:pStyle w:val="BlockQuote"/>
        <w:pStyle w:val="FootnoteText"/>
      </w:pPr>
      <w:r>
        <w:t xml:space="preserve">lesser-known</w:t>
      </w:r>
      <w:r>
        <w:t xml:space="preserve"> </w:t>
      </w:r>
      <w:r>
        <w:t xml:space="preserve">“</w:t>
      </w:r>
      <w:r>
        <w:t xml:space="preserve">post-heroic</w:t>
      </w:r>
      <w:r>
        <w:t xml:space="preserve">”</w:t>
      </w:r>
      <w:r>
        <w:t xml:space="preserve"> </w:t>
      </w:r>
      <w:r>
        <w:t xml:space="preserve">inventors continued to contribute many important innovations throughout the twentieth century, among them Ruben’s mercury battery, Edwin Land’s Polaroid film, and Chester Carlson’s Xerox photocopying process.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 In this case, the P.R. Mallory Company followed a mixed innovation strategy to commercial success: developing a long-term relationship with independent inventor Samuel Ruben and licensing his patents, while simultaneously investing in its own scientific research laboratories.</w:t>
      </w:r>
    </w:p>
    <w:p>
      <w:pPr>
        <w:pStyle w:val="FootnoteText"/>
      </w:pPr>
      <w:r>
        <w:t xml:space="preserve">Eric S. Hintz, “Portable Power: Inventor Samuel Ruben and the Birth of Duracell,”</w:t>
      </w:r>
      <w:r>
        <w:t xml:space="preserve"> </w:t>
      </w:r>
      <w:r>
        <w:rPr>
          <w:i/>
        </w:rPr>
        <w:t xml:space="preserve">Technology and Culture</w:t>
      </w:r>
      <w:r>
        <w:t xml:space="preserve">, 50, no. 1, (2009): 24–57, doi:</w:t>
      </w:r>
      <w:hyperlink r:id="rId26">
        <w:r>
          <w:rPr>
            <w:rStyle w:val="Link"/>
          </w:rPr>
          <w:t xml:space="preserve">10.1353/tech.0.0203</w:t>
        </w:r>
      </w:hyperlink>
      <w:r>
        <w:t xml:space="preserve"/>
      </w:r>
      <w:r>
        <w:t xml:space="preserve">,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27">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w:t>
      </w:r>
      <w:r>
        <w:t xml:space="preserve"> </w:t>
      </w:r>
      <w:r>
        <w:t xml:space="preserve">“</w:t>
      </w:r>
      <w:r>
        <w:t xml:space="preserve">still represented nearly 50 percent of total patents throughout the 1950s.</w:t>
      </w:r>
      <w:r>
        <w:t xml:space="preserve">”</w:t>
      </w:r>
    </w:p>
  </w:footnote>
  <w:footnote w:id="31">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33">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 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4">
    <w:p>
      <w:pPr>
        <w:pStyle w:val="FootnoteText"/>
      </w:pPr>
      <w:r>
        <w:rPr>
          <w:rStyle w:val="FootnoteRef"/>
        </w:rPr>
        <w:footnoteRef/>
      </w:r>
      <w:r>
        <w:t xml:space="preserve">The debate between Congressional Representative Wallace White of Maine and Senator Clarence Dill from Washington over the regulation of the airwaves produced the Federal Radio Commission in 1927, which became the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5">
    <w:p>
      <w:pPr>
        <w:pStyle w:val="FootnoteText"/>
      </w:pPr>
      <w:r>
        <w:rPr>
          <w:rStyle w:val="FootnoteRef"/>
        </w:rPr>
        <w:footnoteRef/>
      </w:r>
      <w:r>
        <w:t xml:space="preserve">An abbreviation for continuous wave, a form of radio transmission that gradually came to replace the noisy and interference-producing spark-gap transmission systems favored by amateurs in the 1920s and 30s.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6">
    <w:p>
      <w:pPr>
        <w:pStyle w:val="FootnoteText"/>
      </w:pPr>
      <w:r>
        <w:rPr>
          <w:rStyle w:val="FootnoteRef"/>
        </w:rPr>
        <w:footnoteRef/>
      </w:r>
      <w:r>
        <w:t xml:space="preserve">DXing is the practice of listening for and identifying transmissions from as far away as possible.</w:t>
      </w:r>
    </w:p>
  </w:footnote>
  <w:footnote w:id="38">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39">
    <w:p>
      <w:pPr>
        <w:pStyle w:val="FootnoteText"/>
      </w:pPr>
      <w:r>
        <w:rPr>
          <w:rStyle w:val="FootnoteRef"/>
        </w:rPr>
        <w:footnoteRef/>
      </w:r>
      <w:r>
        <w:t xml:space="preserve">Unfortunately, it seemed no such organization was ever formed. Focusing on the first half of the twentieth century, Eric Hintz writes that</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Hintz, “The Post-Heroic Generation.</w:t>
      </w:r>
      <w:r>
        <w:t xml:space="preserve">, 745.</w:t>
      </w:r>
    </w:p>
  </w:footnote>
</w:footnotes>
</file>

<file path=word/numbering.xml><?xml version="1.0" encoding="utf-8"?>
<w:numbering xmlns:w="http://schemas.openxmlformats.org/wordprocessingml/2006/main">
  <w:abstractNum w:abstractNumId="0">
    <w:nsid w:val="a7b382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4d8a3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