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1"/>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3"/>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4"/>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5"/>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2"/>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3">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4">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5">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51ae78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