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Date"/>
      </w:pPr>
      <w:r>
        <w:t xml:space="preserve">April</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NOTHER fiction magazine!</w:t>
      </w:r>
    </w:p>
    <w:p>
      <w:r>
        <w:t xml:space="preserve">At first thought it does seem impossible that there could be room for another fiction magazine int 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w:t>
      </w:r>
      <w:r>
        <w:rPr>
          <w:rStyle w:val="FootnoteRef"/>
        </w:rPr>
        <w:footnoteReference w:id="24"/>
      </w:r>
      <w:r>
        <w:t xml:space="preserve"> </w:t>
      </w:r>
      <w:r>
        <w:t xml:space="preserve">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w:t>
      </w:r>
      <w:r>
        <w:rPr>
          <w:rStyle w:val="FootnoteRef"/>
        </w:rPr>
        <w:footnoteReference w:id="25"/>
      </w:r>
      <w:r>
        <w:t xml:space="preserve"> </w:t>
      </w:r>
      <w:r>
        <w:t xml:space="preserve">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r>
        <w:rPr>
          <w:rStyle w:val="FootnoteRef"/>
        </w:rPr>
        <w:footnoteReference w:id="27"/>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w:t>
      </w:r>
      <w:r>
        <w:rPr>
          <w:rStyle w:val="FootnoteRef"/>
        </w:rPr>
        <w:footnoteReference w:id="28"/>
      </w:r>
      <w:r>
        <w:t xml:space="preserve"> </w:t>
      </w:r>
      <w:r>
        <w:t xml:space="preserve">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w:t>
      </w:r>
      <w:r>
        <w:rPr>
          <w:rStyle w:val="FootnoteRef"/>
        </w:rPr>
        <w:footnoteReference w:id="29"/>
      </w:r>
      <w:r>
        <w:t xml:space="preserve"> </w:t>
      </w:r>
      <w:r>
        <w:t xml:space="preserve">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Frank Munsey is generally credited with publishing the first pulp magazine in</w:t>
      </w:r>
      <w:r>
        <w:t xml:space="preserve"> </w:t>
      </w:r>
      <w:r>
        <w:rPr>
          <w:i/>
        </w:rPr>
        <w:t xml:space="preserve">Argosy</w:t>
      </w:r>
      <w:r>
        <w:t xml:space="preserve"> </w:t>
      </w:r>
      <w:r>
        <w:t xml:space="preserve">(1882),</w:t>
      </w:r>
      <w:r>
        <w:t xml:space="preserve"> </w:t>
      </w:r>
      <w:r>
        <w:t xml:space="preserve">“</w:t>
      </w:r>
      <w:r>
        <w:t xml:space="preserve">printing it on coarse paper and filling it with adventure stories for adults</w:t>
      </w:r>
      <w:r>
        <w:t xml:space="preserve">”</w:t>
      </w:r>
      <w:r>
        <w:t xml:space="preserve"> </w:t>
      </w:r>
      <w:r>
        <w:t xml:space="preserve">(314). When Munsey estimated the size of the American magazine reading public, he put the number at 250,000 in 1893 and 750,000 in 1899. By 1947, a national survey of the Magazine Advertising Bureau found 32,300,000</w:t>
      </w:r>
      <w:r>
        <w:t xml:space="preserve"> </w:t>
      </w:r>
      <w:r>
        <w:t xml:space="preserve">“</w:t>
      </w:r>
      <w:r>
        <w:t xml:space="preserve">magazine reading families</w:t>
      </w:r>
      <w:r>
        <w:t xml:space="preserve">”</w:t>
      </w:r>
      <w:r>
        <w:t xml:space="preserve"> </w:t>
      </w:r>
      <w:r>
        <w:t xml:space="preserve">in the United States.</w:t>
      </w:r>
      <w:r>
        <w:t xml:space="preserve"> </w:t>
      </w:r>
      <w:r>
        <w:t xml:space="preserve">Theodore Peterson,</w:t>
      </w:r>
      <w:r>
        <w:t xml:space="preserve"> </w:t>
      </w:r>
      <w:r>
        <w:rPr>
          <w:i/>
        </w:rPr>
        <w:t xml:space="preserve">Magazines in the Twentieth Century</w:t>
      </w:r>
      <w:r>
        <w:t xml:space="preserve">, (Urbana: University of Illinois Press, 1964)</w:t>
      </w:r>
      <w:r>
        <w:t xml:space="preserve">. This rapid expansion of the magazine market meant that by the mid-1920s, the</w:t>
      </w:r>
      <w:r>
        <w:t xml:space="preserve"> </w:t>
      </w:r>
      <w:r>
        <w:t xml:space="preserve">“</w:t>
      </w:r>
      <w:r>
        <w:t xml:space="preserve">several hundreds</w:t>
      </w:r>
      <w:r>
        <w:t xml:space="preserve">”</w:t>
      </w:r>
      <w:r>
        <w:t xml:space="preserve"> </w:t>
      </w:r>
      <w:r>
        <w:t xml:space="preserve">of fiction magazines on the market were able to diversify into incredibly narrow niche publications</w:t>
      </w:r>
      <w:r>
        <w:t xml:space="preserve"> </w:t>
      </w:r>
      <w:r>
        <w:t xml:space="preserve">“</w:t>
      </w:r>
      <w:r>
        <w:t xml:space="preserve">devoted to any and every genre and topic imaginable, such as</w:t>
      </w:r>
      <w:r>
        <w:t xml:space="preserve"> </w:t>
      </w:r>
      <w:r>
        <w:rPr>
          <w:i/>
        </w:rPr>
        <w:t xml:space="preserve">Courtroom Stories</w:t>
      </w:r>
      <w:r>
        <w:t xml:space="preserve"> </w:t>
      </w:r>
      <w:r>
        <w:t xml:space="preserve">(the first issue featured a cover story on the Oscar Wilde trials),</w:t>
      </w:r>
      <w:r>
        <w:t xml:space="preserve"> </w:t>
      </w:r>
      <w:r>
        <w:rPr>
          <w:i/>
        </w:rPr>
        <w:t xml:space="preserve">Football Action, Zeppelin Stories,</w:t>
      </w:r>
      <w:r>
        <w:t xml:space="preserve"> </w:t>
      </w:r>
      <w:r>
        <w:t xml:space="preserve">and</w:t>
      </w:r>
      <w:r>
        <w:t xml:space="preserve"> </w:t>
      </w:r>
      <w:r>
        <w:rPr>
          <w:i/>
        </w:rPr>
        <w:t xml:space="preserve">Gun Molls Magazine</w:t>
      </w:r>
      <w:r>
        <w:t xml:space="preserve">”</w:t>
      </w:r>
      <w:r>
        <w:t xml:space="preserve"> </w:t>
      </w:r>
      <w:r>
        <w:t xml:space="preserve">(75). For an account of how modernist literature worked not in opposition to but within this mass marketplace of popular fiction—</w:t>
      </w:r>
      <w:r>
        <w:t xml:space="preserve">“</w:t>
      </w:r>
      <w:r>
        <w:t xml:space="preserve">the material product, modernism in the marketplace, as found on the newsstand, in the drugstore, over the counter</w:t>
      </w:r>
      <w:r>
        <w:t xml:space="preserve">”</w:t>
      </w:r>
      <w:r>
        <w:t xml:space="preserve">—see</w:t>
      </w:r>
      <w:r>
        <w:t xml:space="preserve"> </w:t>
      </w:r>
      <w:r>
        <w:t xml:space="preserve">David M. Earle,</w:t>
      </w:r>
      <w:r>
        <w:t xml:space="preserve"> </w:t>
      </w:r>
      <w:r>
        <w:rPr>
          <w:i/>
        </w:rPr>
        <w:t xml:space="preserve">Re-Covering Modernism: Pulps, Paperbacks, and the Prejudice of Form</w:t>
      </w:r>
      <w:r>
        <w:t xml:space="preserve">, (Ashgate Publishing, Ltd., 2009)</w:t>
      </w:r>
      <w:r>
        <w:t xml:space="preserve">.</w:t>
      </w:r>
    </w:p>
  </w:footnote>
  <w:footnote w:id="25">
    <w:p>
      <w:pPr>
        <w:pStyle w:val="FootnoteText"/>
      </w:pPr>
      <w:r>
        <w:rPr>
          <w:rStyle w:val="FootnoteRef"/>
        </w:rPr>
        <w:footnoteRef/>
      </w:r>
      <w:r>
        <w:t xml:space="preserve">Gernsback frequently cites Verne, Wells and Poe in his fiction magazine editorials as predecessors to scientifiction. This issue featured work by all three: Verne’s</w:t>
      </w:r>
      <w:r>
        <w:t xml:space="preserve"> </w:t>
      </w:r>
      <w:r>
        <w:rPr>
          <w:i/>
        </w:rPr>
        <w:t xml:space="preserve">Off on a Comet, or Hector Servadac</w:t>
      </w:r>
      <w:r>
        <w:t xml:space="preserve"> </w:t>
      </w:r>
      <w:r>
        <w:t xml:space="preserve">(1877), Wells’s</w:t>
      </w:r>
      <w:r>
        <w:t xml:space="preserve"> </w:t>
      </w:r>
      <w:r>
        <w:t xml:space="preserve">“</w:t>
      </w:r>
      <w:r>
        <w:t xml:space="preserve">The New Accelerator</w:t>
      </w:r>
      <w:r>
        <w:t xml:space="preserve">”</w:t>
      </w:r>
      <w:r>
        <w:t xml:space="preserve"> </w:t>
      </w:r>
      <w:r>
        <w:t xml:space="preserve">(1901), and Poe’s</w:t>
      </w:r>
      <w:r>
        <w:t xml:space="preserve"> </w:t>
      </w:r>
      <w:r>
        <w:t xml:space="preserve">“</w:t>
      </w:r>
      <w:r>
        <w:t xml:space="preserve">The Facts in the Case of M. Valdemar</w:t>
      </w:r>
      <w:r>
        <w:t xml:space="preserve">”</w:t>
      </w:r>
      <w:r>
        <w:t xml:space="preserve"> </w:t>
      </w:r>
      <w:r>
        <w:t xml:space="preserve">(1845). But as Gary Westfahl points out—who sees this line as one of the first programmatic definitions of science fiction as a genre—Gernsback has a wider understanding of SF in the nineteenth century. In addition to his appreciation for Luis Senarens, Gernsback reprinted nineteenth century stories by Richard Adams, Fitz James O’Brien, and H. Rider Haggard. Other mentioned nineteenth century authors in the pages of</w:t>
      </w:r>
      <w:r>
        <w:t xml:space="preserve"> </w:t>
      </w:r>
      <w:r>
        <w:rPr>
          <w:i/>
        </w:rPr>
        <w:t xml:space="preserve">Amazing</w:t>
      </w:r>
      <w:r>
        <w:t xml:space="preserve"> </w:t>
      </w:r>
      <w:r>
        <w:t xml:space="preserve">included Edward Bellamy (see below), Garrett P. Serviss, M.P. Shiel, and Arthur Conan Doyle. Contrary to later histories of science fiction that emphasized texts commenting on the social or political context from which they emerged, Gernsback’s canon revolves around prognostication.</w:t>
      </w:r>
      <w:r>
        <w:t xml:space="preserve"> </w:t>
      </w:r>
      <w:r>
        <w:t xml:space="preserve">“</w:t>
      </w:r>
      <w:r>
        <w:t xml:space="preserve">In associating writers whose careers began in the 19th century with SF, Gernsback, unlike later historians, did not attribute their work to larger events in that era; they were rather persons ahead of their time,</w:t>
      </w:r>
      <w:r>
        <w:t xml:space="preserve">”</w:t>
      </w:r>
      <w:r>
        <w:t xml:space="preserve">prophets" who anticipated both the value of scientific progress and the value of literature about scientific progress. All on his own, Poe</w:t>
      </w:r>
      <w:r>
        <w:t xml:space="preserve"> </w:t>
      </w:r>
      <w:r>
        <w:t xml:space="preserve">‘</w:t>
      </w:r>
      <w:r>
        <w:t xml:space="preserve">conceive[d] the idea of a scientific story.</w:t>
      </w:r>
      <w:r>
        <w:t xml:space="preserve">’</w:t>
      </w:r>
      <w:r>
        <w:t xml:space="preserve"> </w:t>
      </w:r>
      <w:r>
        <w:t xml:space="preserve">Thus, according to Gernsback, 19th-century SF was simply the product of isolated individual geniuses."</w:t>
      </w:r>
      <w:r>
        <w:t xml:space="preserve"> </w:t>
      </w:r>
      <w:r>
        <w:t xml:space="preserve">Gary Westfahl, “‘The Jules Verne, H.G. Wells, and Edgar Allan Poe Type of Story’: Hugo Gernsback’s History of Science Fiction,”</w:t>
      </w:r>
      <w:r>
        <w:t xml:space="preserve"> </w:t>
      </w:r>
      <w:r>
        <w:rPr>
          <w:i/>
        </w:rPr>
        <w:t xml:space="preserve">Science Fiction Studies</w:t>
      </w:r>
      <w:r>
        <w:t xml:space="preserve">, 19, no. 3, (November 1992): 340–353,</w:t>
      </w:r>
      <w:r>
        <w:t xml:space="preserve"> </w:t>
      </w:r>
      <w:hyperlink r:id="rId26">
        <w:r>
          <w:rPr>
            <w:rStyle w:val="Link"/>
          </w:rPr>
          <w:t xml:space="preserve">http://www.jstor.org/stable/4240181</w:t>
        </w:r>
      </w:hyperlink>
      <w:r>
        <w:t xml:space="preserve"/>
      </w:r>
      <w:r>
        <w:t xml:space="preserve">, p. 342-3.</w:t>
      </w:r>
    </w:p>
  </w:footnote>
  <w:footnote w:id="27">
    <w:p>
      <w:pPr>
        <w:pStyle w:val="FootnoteText"/>
      </w:pPr>
      <w:r>
        <w:rPr>
          <w:rStyle w:val="FootnoteRef"/>
        </w:rPr>
        <w:footnoteRef/>
      </w:r>
      <w:r>
        <w:t xml:space="preserve">For a complete list of scientifiction stories published in the Gernsback magazines prior to</w:t>
      </w:r>
      <w:r>
        <w:t xml:space="preserve"> </w:t>
      </w:r>
      <w:r>
        <w:rPr>
          <w:i/>
        </w:rPr>
        <w:t xml:space="preserve">Amazing Stories,</w:t>
      </w:r>
      <w:r>
        <w:t xml:space="preserve"> </w:t>
      </w:r>
      <w:r>
        <w:t xml:space="preserve">see</w:t>
      </w:r>
      <w:r>
        <w:t xml:space="preserve"> </w:t>
      </w:r>
      <w:r>
        <w:rPr>
          <w:b/>
        </w:rPr>
        <w:t xml:space="preserve">The Evolution of Modern Science Fiction.</w:t>
      </w:r>
    </w:p>
  </w:footnote>
  <w:footnote w:id="28">
    <w:p>
      <w:pPr>
        <w:pStyle w:val="FootnoteText"/>
      </w:pPr>
      <w:r>
        <w:rPr>
          <w:rStyle w:val="FootnoteRef"/>
        </w:rPr>
        <w:footnoteRef/>
      </w:r>
      <w:r>
        <w:t xml:space="preserve">Refers to Edward Bellamy, American author of the best-selling socialist utopia</w:t>
      </w:r>
      <w:r>
        <w:t xml:space="preserve"> </w:t>
      </w:r>
      <w:r>
        <w:rPr>
          <w:i/>
        </w:rPr>
        <w:t xml:space="preserve">Looking Backward: 2000-1887</w:t>
      </w:r>
      <w:r>
        <w:t xml:space="preserve"> </w:t>
      </w:r>
      <w:r>
        <w:t xml:space="preserve">(1888).</w:t>
      </w:r>
    </w:p>
  </w:footnote>
  <w:footnote w:id="29">
    <w:p>
      <w:pPr>
        <w:pStyle w:val="FootnoteText"/>
      </w:pPr>
      <w:r>
        <w:rPr>
          <w:rStyle w:val="FootnoteRef"/>
        </w:rPr>
        <w:footnoteRef/>
      </w:r>
      <w:r>
        <w:t xml:space="preserve">The cover to this first issue of</w:t>
      </w:r>
      <w:r>
        <w:t xml:space="preserve"> </w:t>
      </w:r>
      <w:r>
        <w:rPr>
          <w:i/>
        </w:rPr>
        <w:t xml:space="preserve">Amazing Stories</w:t>
      </w:r>
      <w:r>
        <w:t xml:space="preserve"> </w:t>
      </w:r>
      <w:r>
        <w:t xml:space="preserve">features an illustration of Verne’s</w:t>
      </w:r>
      <w:r>
        <w:t xml:space="preserve"> </w:t>
      </w:r>
      <w:r>
        <w:rPr>
          <w:i/>
        </w:rPr>
        <w:t xml:space="preserve">Off On a Comet.</w:t>
      </w:r>
      <w:r>
        <w:t xml:space="preserve"> </w:t>
      </w:r>
      <w:r>
        <w:t xml:space="preserve">Mike Ashley argues that leading with this novel was probably for name recognition alone, as it was</w:t>
      </w:r>
      <w:r>
        <w:t xml:space="preserve"> </w:t>
      </w:r>
      <w:r>
        <w:t xml:space="preserve">“</w:t>
      </w:r>
      <w:r>
        <w:t xml:space="preserve">arguably one of Verne’s least scientifically plausible novels. Gernsback admits so in his introductory blurb:</w:t>
      </w:r>
      <w:r>
        <w:t xml:space="preserve"> </w:t>
      </w:r>
      <w:r>
        <w:t xml:space="preserve">‘</w:t>
      </w:r>
      <w:r>
        <w:t xml:space="preserve">…the author here abandons his usual scrupulously scientific attitude and gives his fancy freer rein.</w:t>
      </w:r>
      <w:r>
        <w:t xml:space="preserve">’</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p. 78.</w:t>
      </w:r>
    </w:p>
  </w:footnote>
</w:footnotes>
</file>

<file path=word/numbering.xml><?xml version="1.0" encoding="utf-8"?>
<w:numbering xmlns:w="http://schemas.openxmlformats.org/wordprocessingml/2006/main">
  <w:abstractNum w:abstractNumId="0">
    <w:nsid w:val="225fb3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
</cp:coreProperties>
</file>