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4"/>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5"/>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7"/>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8"/>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9"/>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Frank Munsey is generally credited with publishing the first pulp magazine in</w:t>
      </w:r>
      <w:r>
        <w:t xml:space="preserve"> </w:t>
      </w:r>
      <w:r>
        <w:rPr>
          <w:i/>
        </w:rPr>
        <w:t xml:space="preserve">Argosy</w:t>
      </w:r>
      <w:r>
        <w:t xml:space="preserve"> </w:t>
      </w:r>
      <w:r>
        <w:t xml:space="preserve">(1882),</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5">
    <w:p>
      <w:pPr>
        <w:pStyle w:val="FootnoteText"/>
      </w:pPr>
      <w:r>
        <w:rPr>
          <w:rStyle w:val="FootnoteRef"/>
        </w:rPr>
        <w:footnoteRef/>
      </w:r>
      <w:r>
        <w:t xml:space="preserve">Gernsback frequently cites Verne, Wells and Poe in his fiction magazine editorials as predecessors to scientifiction.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line as one of the first programmatic definitions of science fiction as a genre—Gernsback has a wider understanding of SF in the nineteenth century. In addition to his appreciation for Luis Senarens, Gernsback reprinted nineteenth century stories by Richard Adams, Fitz James O’Brien, and H. Rider Haggard. Other mentioned nineteenth century authors in the pages of</w:t>
      </w:r>
      <w:r>
        <w:t xml:space="preserve"> </w:t>
      </w:r>
      <w:r>
        <w:rPr>
          <w:i/>
        </w:rPr>
        <w:t xml:space="preserve">Amazing</w:t>
      </w:r>
      <w:r>
        <w:t xml:space="preserve"> </w:t>
      </w:r>
      <w:r>
        <w:t xml:space="preserve">included Edward Bellamy (see below), Garrett P. Serviss, M.P. Shiel, and Arthur Conan Doyle. Contrary to later histories of science fiction that emphasized texts commenting on the social or political context from which they emerged, Gernsback’s canon revolves around prognostication.</w:t>
      </w:r>
      <w:r>
        <w:t xml:space="preserve"> </w:t>
      </w:r>
      <w:r>
        <w:t xml:space="preserve">“</w:t>
      </w:r>
      <w:r>
        <w:t xml:space="preserve">In associating writers whose careers began in the 19th century with SF, Gernsback, unlike later historians, did not attribute their work to larger events in that era; they were rather persons ahead of their time,</w:t>
      </w:r>
      <w:r>
        <w:t xml:space="preserve">”</w:t>
      </w:r>
      <w:r>
        <w:t xml:space="preserve">prophets" who anticipated both the value of scientific progress and the value of literature about scientific progress. All on his own, Poe</w:t>
      </w:r>
      <w:r>
        <w:t xml:space="preserve"> </w:t>
      </w:r>
      <w:r>
        <w:t xml:space="preserve">‘</w:t>
      </w:r>
      <w:r>
        <w:t xml:space="preserve">conceive[d] the idea of a scientific story.</w:t>
      </w:r>
      <w:r>
        <w:t xml:space="preserve">’</w:t>
      </w:r>
      <w:r>
        <w:t xml:space="preserve"> </w:t>
      </w:r>
      <w:r>
        <w:t xml:space="preserve">Thus, according to Gernsback, 19th-century SF was simply the product of isolated individual geniuses."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6">
        <w:r>
          <w:rPr>
            <w:rStyle w:val="Link"/>
          </w:rPr>
          <w:t xml:space="preserve">http://www.jstor.org/stable/4240181</w:t>
        </w:r>
      </w:hyperlink>
      <w:r>
        <w:t xml:space="preserve"/>
      </w:r>
      <w:r>
        <w:t xml:space="preserve">, p. 342-3.</w:t>
      </w:r>
    </w:p>
  </w:footnote>
  <w:footnote w:id="27">
    <w:p>
      <w:pPr>
        <w:pStyle w:val="FootnoteText"/>
      </w:pPr>
      <w:r>
        <w:rPr>
          <w:rStyle w:val="FootnoteRef"/>
        </w:rPr>
        <w:footnoteRef/>
      </w:r>
      <w:r>
        <w:t xml:space="preserve">For a complete list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8">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9">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for name recognition alone,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e13bb1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