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A</w:t>
      </w:r>
      <w:r>
        <w:t xml:space="preserve"> </w:t>
      </w:r>
      <w:r>
        <w:t xml:space="preserve">FEW letters have come to the Editor’s desk from some readers who wish to know what prompts us to so frequently preface our stor- ies in our introductory remarks with the state- ment that this or that scieniilk plot is not impossible, hut quite’ probable.</w:t>
      </w:r>
    </w:p>
    <w:p>
      <w:r>
        <w:t xml:space="preserve">These readers seem to have the idea that we try to impress our friends with the fact that whatever is printed in Amazing Stories is mil necessarily pure fiction, but could or can be fact.</w:t>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 stituted that being merged into the present if can sec neither the past nor the future clearly. If only five hundred years ago (or little more than ten generations), which is not a long" time as human progress goes, anyone had come along with a story wherein radio telephone, sii-am-.hips, airplanes, electricity, painless surgery, the phonograph, and a few other modern marvels were (Inscribed, he would prohably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impossihiliiy</w:t>
      </w:r>
      <w:r>
        <w:t xml:space="preserve">”</w:t>
      </w:r>
      <w:r>
        <w:t xml:space="preserve"> </w:t>
      </w:r>
      <w:r>
        <w:t xml:space="preserve">will have become a fact perhaps before an- other generation — if not much sooner. It is most unwise in this age to declare anyfhinjx impossible, bucause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se’ence as we know it today. For instance, when we see a plot wherein the hero is turned into ■ a tree, later on into a stone, and then again back to himself, we do not consider this science, but, rather, a fairy tale, and such stories have no place in Amazing Stohies.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 type of literature). Scientifiction is a branch of literature which requires more intelligence and even more [esthetic Sense than is possessed by the sex-type reading public. It is designed to reach those qualities of the mind which are aroused only by things vast, things cataclysmic, and things tinfathoraably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 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8406f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