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Authors"/>
      </w:pPr>
      <w:r>
        <w:t xml:space="preserve">Amazing</w:t>
      </w:r>
      <w:r>
        <w:t xml:space="preserve"> </w:t>
      </w:r>
      <w:r>
        <w:t xml:space="preserve">Stories,</w:t>
      </w:r>
      <w:r>
        <w:t xml:space="preserve"> </w:t>
      </w:r>
      <w:r>
        <w:t xml:space="preserve">vol. 1</w:t>
      </w:r>
      <w:r>
        <w:t xml:space="preserve"> </w:t>
      </w:r>
      <w:r>
        <w:t xml:space="preserve">no.</w:t>
      </w:r>
      <w:r>
        <w:t xml:space="preserve"> </w:t>
      </w:r>
      <w:r>
        <w:t xml:space="preserve">4</w:t>
      </w:r>
    </w:p>
    <w:p>
      <w:pPr>
        <w:pStyle w:val="Date"/>
      </w:pPr>
      <w:r>
        <w:t xml:space="preserve">July</w:t>
      </w:r>
      <w:r>
        <w:t xml:space="preserve"> </w:t>
      </w:r>
      <w:r>
        <w:t xml:space="preserve">1926</w:t>
      </w:r>
    </w:p>
    <w:p>
      <w:r>
        <w:rPr>
          <w:b/>
        </w:rPr>
        <w:t xml:space="preserve">A</w:t>
      </w:r>
      <w:r>
        <w:t xml:space="preserve"> </w:t>
      </w:r>
      <w:r>
        <w:t xml:space="preserve">FEW letters have come to the Editor’s desk from some readers who wish to know what prompts us to so frequently preface our stories in our introductory remarks with the statement that this or that scientific plot is not impossible, but quite probable.</w:t>
      </w:r>
    </w:p>
    <w:p>
      <w:r>
        <w:t xml:space="preserve">These readers seem to have the idea that we try to impress our friends with the fact that whatever is printed in AMAZING STORIES is not necessarily pure fiction, but could or can be fact.</w:t>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constituted that being merged into the present it can see neither the past nor the future clearly. If only five hundred years ago (or little more than ten generations), which is not a long time as human progress goes, anyone had come along with a story wherein radio telephone, steamships, airplanes, electricity, painless surgery, the phonograph, and a few other modern marvels were described, he would probably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impossibility</w:t>
      </w:r>
      <w:r>
        <w:t xml:space="preserve">”</w:t>
      </w:r>
      <w:r>
        <w:t xml:space="preserve"> </w:t>
      </w:r>
      <w:r>
        <w:t xml:space="preserve">will have become a fact perhaps before another generation—if not much sooner. It is most unwise in this age to declare anything impossible, because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science as we know it today. For instance, when we see a plot wherein the hero is turned into a tree, later on into a stone, and then again back to himself, we do not consider this science, but, rather, a fairy tale, and such stories have no place in AMAZING STORIES.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sex-type of literature). Scientifiction is a branch of literature which requires more intelligence and even more aesthetic sense than is possessed by the sex-type reading public. It is designed to reach those qualities of the mind which are aroused only by things vast, things cataclysmic, and things unfathomably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21"/>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For Darko Suvin, whose formulation of</w:t>
      </w:r>
      <w:r>
        <w:t xml:space="preserve"> </w:t>
      </w:r>
      <w:r>
        <w:t xml:space="preserve">“</w:t>
      </w:r>
      <w:r>
        <w:t xml:space="preserve">cognitive estrangement</w:t>
      </w:r>
      <w:r>
        <w:t xml:space="preserve">”</w:t>
      </w:r>
      <w:r>
        <w:t xml:space="preserve"> </w:t>
      </w:r>
      <w:r>
        <w:t xml:space="preserve">has been one of the most influential critical concepts in science fiction studies, the science that a given work explores shapes the parameters of its</w:t>
      </w:r>
      <w:r>
        <w:t xml:space="preserve"> </w:t>
      </w:r>
      <w:r>
        <w:t xml:space="preserve">“</w:t>
      </w:r>
      <w:r>
        <w:t xml:space="preserve">literariness,</w:t>
      </w:r>
      <w:r>
        <w:t xml:space="preserve">”</w:t>
      </w:r>
      <w:r>
        <w:t xml:space="preserve"> </w:t>
      </w:r>
      <w:r>
        <w:t xml:space="preserve">as Wertenbaker and Gernsback put it here.</w:t>
      </w:r>
      <w:r>
        <w:t xml:space="preserve"> </w:t>
      </w:r>
      <w:r>
        <w:t xml:space="preserve">“</w:t>
      </w:r>
      <w:r>
        <w:t xml:space="preserve">Once the elastic criteria of literary structuring have been met,</w:t>
      </w:r>
      <w:r>
        <w:t xml:space="preserve"> </w:t>
      </w:r>
      <w:r>
        <w:rPr>
          <w:i/>
        </w:rPr>
        <w:t xml:space="preserve">a cognitive—in most cases strictly scientific—element becomes a measure of aesthetic quality, of the specific pleasure to be sought in SF.</w:t>
      </w:r>
      <w:r>
        <w:t xml:space="preserve"> </w:t>
      </w:r>
      <w:r>
        <w:t xml:space="preserve">In other words, the cognitive nucleus of the plot [the work’s scientifically plausible conceit] codetermines the fictional estrangement [the fictional construction of a world different from our own] itself.</w:t>
      </w:r>
      <w:r>
        <w:t xml:space="preserve">”</w:t>
      </w:r>
      <w:r>
        <w:t xml:space="preserve"> </w:t>
      </w:r>
      <w:r>
        <w:t xml:space="preserve">Darko Suvin,</w:t>
      </w:r>
      <w:r>
        <w:t xml:space="preserve"> </w:t>
      </w:r>
      <w:r>
        <w:rPr>
          <w:i/>
        </w:rPr>
        <w:t xml:space="preserve">Metamorphoses of Science Fiction: on the Poetics and History of a Literary Genre</w:t>
      </w:r>
      <w:r>
        <w:t xml:space="preserve">, (Yale University Press, 1979)</w:t>
      </w:r>
      <w:r>
        <w:t xml:space="preserve">, p. 15.</w:t>
      </w:r>
    </w:p>
    <w:p>
      <w:pPr>
        <w:pStyle w:val="FootnoteText"/>
      </w:pPr>
      <w:r>
        <w:t xml:space="preserve">Samuel R. Delany, on the other hand, argues that attempts to locate the proper proportions of science to fiction in the genre are useless, as the variety of forms operating under the banner of SF far outpace any attempts to pin it down.</w:t>
      </w:r>
    </w:p>
    <w:p>
      <w:pPr>
        <w:pStyle w:val="BlockQuote"/>
        <w:pStyle w:val="FootnoteText"/>
      </w:pPr>
      <w:r>
        <w:t xml:space="preserve">The presence and interaction of estrangement and cognition in a literary work are simply and blatantly insufficient to produce SF. If they interact in one way, they produce fantasy. If they interact in another, they produce surrealism. If they interact in still another, they produce criticism. And it can be argued that as well as insufficient, they are not really necessary either. There are too many space-operas, as familiar to readers as the last fifty of them read, in which there is no cognitive thrust at all. And if these are excluded—by definition—from the genre, then we have no definition at all. … But this notion that SF</w:t>
      </w:r>
      <w:r>
        <w:t xml:space="preserve"> </w:t>
      </w:r>
      <w:r>
        <w:rPr>
          <w:i/>
        </w:rPr>
        <w:t xml:space="preserve">is</w:t>
      </w:r>
      <w:r>
        <w:t xml:space="preserve"> </w:t>
      </w:r>
      <w:r>
        <w:t xml:space="preserve">somehow definable is an idea that haunts the academic discussion of SF as much as it haunts the informal discussion that has filled the fanzines since ’39. If SF were definable, then it would be the only genre that was! No one has found hte necessary and sufficient conditions for poetry. No one has found the necessary and sufficient conditions for tragedy, for the novel, for fiction. If SF is, as Suvin calls it,</w:t>
      </w:r>
      <w:r>
        <w:t xml:space="preserve"> </w:t>
      </w:r>
      <w:r>
        <w:t xml:space="preserve">“</w:t>
      </w:r>
      <w:r>
        <w:t xml:space="preserve">a full fledged literary genre,</w:t>
      </w:r>
      <w:r>
        <w:t xml:space="preserve">”</w:t>
      </w:r>
      <w:r>
        <w:t xml:space="preserve"> </w:t>
      </w:r>
      <w:r>
        <w:t xml:space="preserve">why should it be the single one to</w:t>
      </w:r>
      <w:r>
        <w:t xml:space="preserve"> </w:t>
      </w:r>
      <w:r>
        <w:rPr>
          <w:i/>
        </w:rPr>
        <w:t xml:space="preserve">have</w:t>
      </w:r>
      <w:r>
        <w:t xml:space="preserve"> </w:t>
      </w:r>
      <w:r>
        <w:t xml:space="preserve">necessary and sufficient conditions?</w:t>
      </w:r>
    </w:p>
    <w:p>
      <w:pPr>
        <w:pStyle w:val="FootnoteText"/>
      </w:pP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22">
        <w:r>
          <w:rPr>
            <w:rStyle w:val="Link"/>
          </w:rPr>
          <w:t xml:space="preserve">http://search.ebscohost.com/login.aspx?direct=true&amp;scope=site&amp;db=nlebk&amp;db=nlabk&amp;AN=362281</w:t>
        </w:r>
      </w:hyperlink>
      <w:r>
        <w:t xml:space="preserve"/>
      </w:r>
      <w:r>
        <w:t xml:space="preserve">, p. 191-2.</w:t>
      </w:r>
    </w:p>
  </w:footnote>
</w:footnotes>
</file>

<file path=word/numbering.xml><?xml version="1.0" encoding="utf-8"?>
<w:numbering xmlns:w="http://schemas.openxmlformats.org/wordprocessingml/2006/main">
  <w:abstractNum w:abstractNumId="0">
    <w:nsid w:val="fe37cb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earch.ebscohost.com/login.aspx?direct=true&amp;scope=site&amp;db=nlebk&amp;db=nlabk&amp;AN=362281" TargetMode="External" /></Relationships>
</file>

<file path=word/_rels/footnotes.xml.rels><?xml version="1.0" encoding="UTF-8"?>
<Relationships xmlns="http://schemas.openxmlformats.org/package/2006/relationships"><Relationship Type="http://schemas.openxmlformats.org/officeDocument/2006/relationships/hyperlink" Id="rId22" Target="http://search.ebscohost.com/login.aspx?direct=true&amp;scope=site&amp;db=nlebk&amp;db=nlabk&amp;AN=3622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Amazing Stories, vol. 1 no. 4</dc:creator>
</cp:coreProperties>
</file>