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r>
        <w:rPr>
          <w:rStyle w:val="FootnoteRef"/>
        </w:rPr>
        <w:footnoteReference w:id="24"/>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if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John Cheng argues that the publication of readers’ letters in the pages of</w:t>
      </w:r>
      <w:r>
        <w:t xml:space="preserve"> </w:t>
      </w:r>
      <w:r>
        <w:rPr>
          <w:i/>
        </w:rPr>
        <w:t xml:space="preserve">Amazing Stories</w:t>
      </w:r>
      <w:r>
        <w:t xml:space="preserve"> </w:t>
      </w:r>
      <w:r>
        <w:t xml:space="preserve">allowed for writers, editors, and readers to engage in a dialogue on science that wasn’t merely a passive spectator sport. It was the construction of a popular consensus on what counted as scientific fact:</w:t>
      </w:r>
    </w:p>
    <w:p>
      <w:pPr>
        <w:pStyle w:val="BlockQuote"/>
        <w:pStyle w:val="FootnoteText"/>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w:t>
      </w:r>
    </w:p>
  </w:footnote>
  <w:footnote w:id="25">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6">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6ac810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