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w:t>
      </w:r>
      <w:r>
        <w:rPr>
          <w:rStyle w:val="FootnoteRef"/>
        </w:rPr>
        <w:footnoteReference w:id="21"/>
      </w:r>
      <w:r>
        <w:t xml:space="preserve"> </w:t>
      </w:r>
      <w:r>
        <w:t xml:space="preserve">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r>
        <w:rPr>
          <w:rStyle w:val="FootnoteRef"/>
        </w:rPr>
        <w:footnoteReference w:id="22"/>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r>
        <w:rPr>
          <w:rStyle w:val="FootnoteRef"/>
        </w:rPr>
        <w:footnoteReference w:id="23"/>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4"/>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similar debate broke out among readers when</w:t>
      </w:r>
      <w:r>
        <w:t xml:space="preserve"> </w:t>
      </w:r>
      <w:r>
        <w:rPr>
          <w:i/>
        </w:rPr>
        <w:t xml:space="preserve">Science Wonder Stories</w:t>
      </w:r>
      <w:r>
        <w:t xml:space="preserve"> </w:t>
      </w:r>
      <w:r>
        <w:t xml:space="preserve">shortened its title to</w:t>
      </w:r>
      <w:r>
        <w:t xml:space="preserve"> </w:t>
      </w:r>
      <w:r>
        <w:rPr>
          <w:i/>
        </w:rPr>
        <w:t xml:space="preserve">Wonder Stories</w:t>
      </w:r>
      <w:r>
        <w:t xml:space="preserve"> </w:t>
      </w:r>
      <w:r>
        <w:t xml:space="preserve">in June 1930. And, once again, the conversation conflated genre and gender. See</w:t>
      </w:r>
      <w:r>
        <w:t xml:space="preserve"> </w:t>
      </w:r>
      <w:r>
        <w:t xml:space="preserve">John Cheng,</w:t>
      </w:r>
      <w:r>
        <w:t xml:space="preserve"> </w:t>
      </w:r>
      <w:r>
        <w:rPr>
          <w:i/>
        </w:rPr>
        <w:t xml:space="preserve">Astounding Wonder: Imagining Science and Science Fiction in Interwar America</w:t>
      </w:r>
      <w:r>
        <w:t xml:space="preserve">, (University of Pennsylvania Press, 2012)</w:t>
      </w:r>
      <w:r>
        <w:t xml:space="preserve">, 116.</w:t>
      </w:r>
    </w:p>
  </w:footnote>
  <w:footnote w:id="22">
    <w:p>
      <w:pPr>
        <w:pStyle w:val="FootnoteText"/>
      </w:pPr>
      <w:r>
        <w:rPr>
          <w:rStyle w:val="FootnoteRef"/>
        </w:rPr>
        <w:footnoteRef/>
      </w:r>
      <w:r>
        <w:t xml:space="preserve">Mrs. H. O. De Hart of Anderson, Indiana writes:</w:t>
      </w:r>
      <w:r>
        <w:t xml:space="preserve"> </w:t>
      </w:r>
      <w:r>
        <w:t xml:space="preserve">“</w:t>
      </w:r>
      <w:r>
        <w:t xml:space="preserve">Well, I’ve written Mr. Wastebasket a rather lengthy letter this time, but I do not really expect you to clutter up your columns with it. I am only a comparatively uneducated young (is twenty-six young? Thank you!) wife and mother of two babies, so about the only chance I get to travel beyond the four walls of my home is when I pick up your magazine.</w:t>
      </w:r>
      <w:r>
        <w:t xml:space="preserve">”</w:t>
      </w:r>
      <w:r>
        <w:t xml:space="preserve"> </w:t>
      </w:r>
      <w:r>
        <w:t xml:space="preserve">H. O. De Hart, “A Kind Letter from a Lady Friend and Reader,”</w:t>
      </w:r>
      <w:r>
        <w:t xml:space="preserve"> </w:t>
      </w:r>
      <w:r>
        <w:rPr>
          <w:i/>
        </w:rPr>
        <w:t xml:space="preserve">Amazing Stories</w:t>
      </w:r>
      <w:r>
        <w:t xml:space="preserve">, 3, no. 3, (June 1928): 277</w:t>
      </w:r>
      <w:r>
        <w:t xml:space="preserve">.</w:t>
      </w:r>
    </w:p>
    <w:p>
      <w:pPr>
        <w:pStyle w:val="FootnoteText"/>
      </w:pPr>
      <w:r>
        <w:t xml:space="preserve">A reply came a few months later from Mrs. L. Silverberg of Augusta, GA:</w:t>
      </w:r>
      <w:r>
        <w:t xml:space="preserve"> </w:t>
      </w:r>
      <w:r>
        <w:t xml:space="preserve">“</w:t>
      </w:r>
      <w:r>
        <w:t xml:space="preserve">It is the letter of Mrs. H. O. De Hart in the June issue of your publication that is the cause of my writing my little say. For more than a year I have been a reader of this magazine, and this is the first time I have seen a letter from a woman reader. In fact I was somewhat surprised as I had believed that I was the only feminine reader of your publicaiton. However, it is with pleasure that I note that another of my sex is interested in scientifiction.</w:t>
      </w:r>
      <w:r>
        <w:t xml:space="preserve">”</w:t>
      </w:r>
      <w:r>
        <w:t xml:space="preserve"> </w:t>
      </w:r>
      <w:r>
        <w:t xml:space="preserve">L Silverberg, “A Lady Reader’s Criticisms,”</w:t>
      </w:r>
      <w:r>
        <w:t xml:space="preserve"> </w:t>
      </w:r>
      <w:r>
        <w:rPr>
          <w:i/>
        </w:rPr>
        <w:t xml:space="preserve">Amazing Stories</w:t>
      </w:r>
      <w:r>
        <w:t xml:space="preserve">, 3, no. 7, (October 1928): 667</w:t>
      </w:r>
      <w:r>
        <w:t xml:space="preserve">. Quoted in</w:t>
      </w:r>
      <w:r>
        <w:t xml:space="preserve"> </w:t>
      </w:r>
      <w:r>
        <w:t xml:space="preserve">Justine Larbalestier,</w:t>
      </w:r>
      <w:r>
        <w:t xml:space="preserve"> </w:t>
      </w:r>
      <w:r>
        <w:rPr>
          <w:i/>
        </w:rPr>
        <w:t xml:space="preserve">The Battle of the Sexes in Science Fiction</w:t>
      </w:r>
      <w:r>
        <w:t xml:space="preserve">, (Middletown, Conn.: Wesleyan University Press, 2002)</w:t>
      </w:r>
    </w:p>
    <w:p>
      <w:pPr>
        <w:pStyle w:val="FootnoteText"/>
      </w:pPr>
      <w:r>
        <w:t xml:space="preserve">The next year, Gloria Rosselli of Hickory Street, Seaford, NY writes:</w:t>
      </w:r>
      <w:r>
        <w:t xml:space="preserve"> </w:t>
      </w:r>
      <w:r>
        <w:t xml:space="preserve">“</w:t>
      </w:r>
      <w:r>
        <w:t xml:space="preserve">I am a Senior in a small high school in an adjoining town. Because I am only seventeen (and a girl at that!), maybe I’m not supposed to enjoy the highly educational and scientific stories which you publish … but I do.</w:t>
      </w:r>
      <w:r>
        <w:t xml:space="preserve">”</w:t>
      </w:r>
      <w:r>
        <w:t xml:space="preserve"> </w:t>
      </w:r>
      <w:r>
        <w:t xml:space="preserve">Gloria Rosselli, “A Letter from a High School Senior,”</w:t>
      </w:r>
      <w:r>
        <w:t xml:space="preserve"> </w:t>
      </w:r>
      <w:r>
        <w:rPr>
          <w:i/>
        </w:rPr>
        <w:t xml:space="preserve">Amazing Stories</w:t>
      </w:r>
      <w:r>
        <w:t xml:space="preserve">, 4, no. 3, (June 1929)</w:t>
      </w:r>
      <w:r>
        <w:t xml:space="preserve">.</w:t>
      </w:r>
    </w:p>
    <w:p>
      <w:pPr>
        <w:pStyle w:val="FootnoteText"/>
      </w:pPr>
      <w:r>
        <w:t xml:space="preserve">And Barbara Baldwin of 566 College Avenue SE, Grand Rapids, MI writes: “This is another letter from a</w:t>
      </w:r>
      <w:r>
        <w:t xml:space="preserve"> </w:t>
      </w:r>
      <w:r>
        <w:rPr>
          <w:i/>
        </w:rPr>
        <w:t xml:space="preserve">mere</w:t>
      </w:r>
      <w:r>
        <w:t xml:space="preserve"> </w:t>
      </w:r>
      <w:r>
        <w:t xml:space="preserve">girl. I am seventeen years old and have been reading</w:t>
      </w:r>
      <w:r>
        <w:t xml:space="preserve"> </w:t>
      </w:r>
      <w:r>
        <w:rPr>
          <w:i/>
        </w:rPr>
        <w:t xml:space="preserve">Amazing Stories</w:t>
      </w:r>
      <w:r>
        <w:t xml:space="preserve"> </w:t>
      </w:r>
      <w:r>
        <w:t xml:space="preserve">for about a year. What we want is more interplanetarian stories and less detective stories. I think that most other girls will agree with me in that respect. … It might interest you to know that I have bought a three-inch telescope since I first became interested in astronomy through</w:t>
      </w:r>
      <w:r>
        <w:t xml:space="preserve"> </w:t>
      </w:r>
      <w:r>
        <w:rPr>
          <w:i/>
        </w:rPr>
        <w:t xml:space="preserve">Amazing Stories.</w:t>
      </w:r>
      <w:r>
        <w:t xml:space="preserve"> </w:t>
      </w:r>
      <w:r>
        <w:t xml:space="preserve">Barbara Baldwin, “A Mere Girl Writes Us a Letter, and a Good One,”</w:t>
      </w:r>
      <w:r>
        <w:t xml:space="preserve"> </w:t>
      </w:r>
      <w:r>
        <w:rPr>
          <w:i/>
        </w:rPr>
        <w:t xml:space="preserve">Amazing Stories</w:t>
      </w:r>
      <w:r>
        <w:t xml:space="preserve">, 4, no. 10, (January 1930)</w:t>
      </w:r>
      <w:r>
        <w:t xml:space="preserve">. Quoted in</w:t>
      </w:r>
      <w:r>
        <w:t xml:space="preserve"> </w:t>
      </w:r>
      <w:r>
        <w:t xml:space="preserve">Cheng,</w:t>
      </w:r>
      <w:r>
        <w:t xml:space="preserve"> </w:t>
      </w:r>
      <w:r>
        <w:rPr>
          <w:i/>
        </w:rPr>
        <w:t xml:space="preserve">Astounding Wonder</w:t>
      </w:r>
      <w:r>
        <w:t xml:space="preserve"/>
      </w:r>
      <w:r>
        <w:t xml:space="preserve">, 116.</w:t>
      </w:r>
    </w:p>
    <w:p>
      <w:pPr>
        <w:pStyle w:val="FootnoteText"/>
      </w:pPr>
      <w:r>
        <w:t xml:space="preserve">Larbalestier’s book shows how letters among female readers allowed for the construction of a community that paved the way for later female science fiction writers who would thematize the terms of these conversations. By April 1931, Leslie F. Stone (</w:t>
      </w:r>
      <w:r>
        <w:t xml:space="preserve">“</w:t>
      </w:r>
      <w:r>
        <w:t xml:space="preserve">one of the earliest women writers of science fiction</w:t>
      </w:r>
      <w:r>
        <w:t xml:space="preserve">”</w:t>
      </w:r>
      <w:r>
        <w:t xml:space="preserve">) published</w:t>
      </w:r>
      <w:r>
        <w:t xml:space="preserve"> </w:t>
      </w:r>
      <w:r>
        <w:t xml:space="preserve">“</w:t>
      </w:r>
      <w:r>
        <w:t xml:space="preserve">The Conquest of Gola</w:t>
      </w:r>
      <w:r>
        <w:t xml:space="preserve">”</w:t>
      </w:r>
      <w:r>
        <w:t xml:space="preserve"> </w:t>
      </w:r>
      <w:r>
        <w:t xml:space="preserve">in</w:t>
      </w:r>
      <w:r>
        <w:t xml:space="preserve"> </w:t>
      </w:r>
      <w:r>
        <w:rPr>
          <w:i/>
        </w:rPr>
        <w:t xml:space="preserve">Wonder Stories,</w:t>
      </w:r>
      <w:r>
        <w:t xml:space="preserve"> </w:t>
      </w:r>
      <w:r>
        <w:t xml:space="preserve">the first of an SF tradition Larbalestier calls battle-of-the-sexes texts:</w:t>
      </w:r>
    </w:p>
    <w:p>
      <w:pPr>
        <w:pStyle w:val="FootnoteText"/>
      </w:pPr>
      <w:r>
        <w:t xml:space="preserve">“</w:t>
      </w:r>
      <w:r>
        <w:t xml:space="preserve">I want to emphasize that the battle-of-the-sexes stories’ engagement with debates about the social constructions of women and men and the organization of relations between them is made possible by science fiction’s generic rules. Science fiction is not tied to a</w:t>
      </w:r>
      <w:r>
        <w:t xml:space="preserve"> </w:t>
      </w:r>
      <w:r>
        <w:t xml:space="preserve">‘</w:t>
      </w:r>
      <w:r>
        <w:t xml:space="preserve">mimetic faithfulness to the world as it is.</w:t>
      </w:r>
      <w:r>
        <w:t xml:space="preserve">’</w:t>
      </w:r>
      <w:r>
        <w:t xml:space="preserve"> </w:t>
      </w:r>
      <w:r>
        <w:t xml:space="preserve">The process of imagining a world in which women are the dominant sex immediately exposes many of the processes that normally operate to keep women subordinate; it renders these processes of power</w:t>
      </w:r>
      <w:r>
        <w:t xml:space="preserve"> </w:t>
      </w:r>
      <w:r>
        <w:rPr>
          <w:i/>
        </w:rPr>
        <w:t xml:space="preserve">visible.</w:t>
      </w:r>
      <w:r>
        <w:t xml:space="preserve">”</w:t>
      </w:r>
      <w:r>
        <w:t xml:space="preserve"> </w:t>
      </w:r>
      <w:r>
        <w:t xml:space="preserve">(8)</w:t>
      </w:r>
    </w:p>
  </w:footnote>
  <w:footnote w:id="23">
    <w:p>
      <w:pPr>
        <w:pStyle w:val="FootnoteText"/>
      </w:pPr>
      <w:r>
        <w:rPr>
          <w:rStyle w:val="FootnoteRef"/>
        </w:rPr>
        <w:footnoteRef/>
      </w:r>
      <w:r>
        <w:t xml:space="preserve">Among this issue’s stories was</w:t>
      </w:r>
      <w:r>
        <w:t xml:space="preserve"> </w:t>
      </w:r>
      <w:r>
        <w:t xml:space="preserve">“</w:t>
      </w:r>
      <w:r>
        <w:t xml:space="preserve">The Moon Hoax</w:t>
      </w:r>
      <w:r>
        <w:t xml:space="preserve">”</w:t>
      </w:r>
      <w:r>
        <w:t xml:space="preserve">: reprints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states that it was due to a lack of modern media that the hoax spread so easily to an incredulous public:</w:t>
      </w:r>
      <w:r>
        <w:t xml:space="preserve"> </w:t>
      </w:r>
      <w:r>
        <w:t xml:space="preserve">“</w:t>
      </w:r>
      <w:r>
        <w:t xml:space="preserve">At that time, when there were no cables and no radio, and communication was slow, it was a simple matter to spring such a hoax, where today it would not last twenty-four hours, because verification or denial would speedily be brought about.</w:t>
      </w:r>
      <w:r>
        <w:t xml:space="preserve">”</w:t>
      </w:r>
      <w:r>
        <w:t xml:space="preserve"> </w:t>
      </w:r>
      <w:r>
        <w:t xml:space="preserve">Despite the series’ obvious falsehood, this intro calls it</w:t>
      </w:r>
      <w:r>
        <w:t xml:space="preserve"> </w:t>
      </w:r>
      <w:r>
        <w:t xml:space="preserve">“</w:t>
      </w:r>
      <w:r>
        <w:t xml:space="preserve">a charming story that will live forever … this remains one of the finest pieces of imagination that has ever appeared.</w:t>
      </w:r>
      <w:r>
        <w:t xml:space="preserve">”</w:t>
      </w:r>
      <w:r>
        <w:t xml:space="preserve"> </w:t>
      </w:r>
      <w:r>
        <w:t xml:space="preserve">Thus the ever expanding catalogue of scientifiction</w:t>
      </w:r>
      <w:r>
        <w:t xml:space="preserve"> </w:t>
      </w:r>
      <w:r>
        <w:t xml:space="preserve">“</w:t>
      </w:r>
      <w:r>
        <w:t xml:space="preserve">classics</w:t>
      </w:r>
      <w:r>
        <w:t xml:space="preserve">”</w:t>
      </w:r>
      <w:r>
        <w:t xml:space="preserve"> </w:t>
      </w:r>
      <w:r>
        <w:t xml:space="preserve">included texts that worked upon the reader with a semblance of scientific veracity. But the mark of a truly modern work of scientifiction was the speed with which the truth of the story could be proven or disproven by the community.</w:t>
      </w:r>
    </w:p>
  </w:footnote>
</w:footnotes>
</file>

<file path=word/numbering.xml><?xml version="1.0" encoding="utf-8"?>
<w:numbering xmlns:w="http://schemas.openxmlformats.org/wordprocessingml/2006/main">
  <w:abstractNum w:abstractNumId="0">
    <w:nsid w:val="5810b4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