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shortened its title to</w:t>
      </w:r>
      <w:r>
        <w:t xml:space="preserve"> </w:t>
      </w:r>
      <w:r>
        <w:rPr>
          <w:i/>
        </w:rPr>
        <w:t xml:space="preserve">Wonder Stories</w:t>
      </w:r>
      <w:r>
        <w:t xml:space="preserve"> </w:t>
      </w:r>
      <w:r>
        <w:t xml:space="preserve">in June 1930. And, once again, the conversation conflated genre and gender. See</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publication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Justine Larbalestier,</w:t>
      </w:r>
      <w:r>
        <w:t xml:space="preserve"> </w:t>
      </w:r>
      <w:r>
        <w:rPr>
          <w:i/>
        </w:rPr>
        <w:t xml:space="preserve">The Battle of the Sexes in Science Fiction</w:t>
      </w:r>
      <w:r>
        <w:t xml:space="preserve">, (Middletown, Conn.: Wesleyan University Press, 2002)</w:t>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a15612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