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Date"/>
      </w:pPr>
      <w:r>
        <w:t xml:space="preserve">September</w:t>
      </w:r>
      <w:r>
        <w:t xml:space="preserve"> </w:t>
      </w:r>
      <w:r>
        <w:t xml:space="preserve">1926</w:t>
      </w:r>
    </w:p>
    <w:p>
      <w:r>
        <w:t xml:space="preserve">During the course of conversation with any people in all walks of life, the question is frequently asked me, if radio has now settled down, in the same degree as the automobile industry, and whether it has become stabilized?</w:t>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1"/>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r>
        <w:rPr>
          <w:rStyle w:val="FootnoteRef"/>
        </w:rPr>
        <w:footnoteReference w:id="22"/>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r>
        <w:rPr>
          <w:rStyle w:val="FootnoteRef"/>
        </w:rPr>
        <w:footnoteReference w:id="27"/>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w:t>
      </w:r>
      <w:r>
        <w:rPr>
          <w:rStyle w:val="FootnoteRef"/>
        </w:rPr>
        <w:footnoteReference w:id="28"/>
      </w:r>
      <w:r>
        <w:t xml:space="preserve"> </w:t>
      </w:r>
      <w:r>
        <w:t xml:space="preserve">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 Fessenden’s case, contorolled heterodyning could boost a signal. But with the number of broadcast stations crowding the airwaves in the 1920s, natural heterodyning occured when two stations operating at closely-spaced frequencies produced unwanted interference for each of the signals. For more on the heterodyne principle, see</w:t>
      </w:r>
      <w:r>
        <w:t xml:space="preserve"> </w:t>
      </w:r>
      <w:r>
        <w:rPr>
          <w:b/>
        </w:rPr>
        <w:t xml:space="preserve">The Dynamophone.</w:t>
      </w:r>
    </w:p>
  </w:footnote>
  <w:footnote w:id="22">
    <w:p>
      <w:pPr>
        <w:pStyle w:val="FootnoteText"/>
      </w:pPr>
      <w:r>
        <w:rPr>
          <w:rStyle w:val="FootnoteRef"/>
        </w:rPr>
        <w:footnoteRef/>
      </w:r>
      <w:r>
        <w:t xml:space="preserve">Both of these were innovations in tuning knob construction. As more and more broadcasters began to crowd the airwaves in the late 1920s, straight line frequency condensers made tuning easier by spacing out frequencies at the lower end of the dial so that the distance between stations was uniform from one end of the dial to the other.</w:t>
      </w:r>
      <w:r>
        <w:t xml:space="preserve"> </w:t>
      </w:r>
      <w:r>
        <w:t xml:space="preserve">“</w:t>
      </w:r>
      <w:r>
        <w:t xml:space="preserve">At the lower end of the broadcasting band, ten kilocycles do not change the wavelength nearly as much as the same change does at 500 meters, for instance.</w:t>
      </w:r>
      <w:r>
        <w:t xml:space="preserve">”</w:t>
      </w:r>
      <w:r>
        <w:t xml:space="preserve"> </w:t>
      </w:r>
      <w:r>
        <w:t xml:space="preserve">Straight line condensers were a solution to this problem.</w:t>
      </w:r>
    </w:p>
    <w:p>
      <w:pPr>
        <w:pStyle w:val="BlockQuote"/>
        <w:pStyle w:val="FootnoteText"/>
      </w:pPr>
      <w:r>
        <w:t xml:space="preserve">As the shaft is turned, the plates engage with each other more and more rapidly. The result of this construction is to give slow changes in capacity when the plates are nearly disengaged, and rapid changes when the dial is turned to the higher numbers. … This means that as you turn the dial toward zero, the condenser plates move slower and slower in proportion to the amount of motion on the dial.</w:t>
      </w:r>
    </w:p>
    <w:p>
      <w:pPr>
        <w:pStyle w:val="FootnoteText"/>
      </w:pPr>
      <w:r>
        <w:t xml:space="preserve">Alfred P. Lane, “New Straight Line Types Separate Stations on Dials,”</w:t>
      </w:r>
      <w:r>
        <w:t xml:space="preserve"> </w:t>
      </w:r>
      <w:r>
        <w:rPr>
          <w:i/>
        </w:rPr>
        <w:t xml:space="preserve">Popular Science Monthly</w:t>
      </w:r>
      <w:r>
        <w:t xml:space="preserve">, (April 1926): 60–62</w:t>
      </w:r>
    </w:p>
    <w:p>
      <w:pPr>
        <w:pStyle w:val="FootnoteText"/>
      </w:pPr>
      <w:r>
        <w:t xml:space="preserve">Vernier dials allowed for large movements on a knob to result in fine-grained input:</w:t>
      </w:r>
      <w:r>
        <w:t xml:space="preserve"> </w:t>
      </w:r>
      <w:r>
        <w:t xml:space="preserve">“</w:t>
      </w:r>
      <w:r>
        <w:t xml:space="preserve">each complete rotation of the control knob causes only a fraction of a revolution of the main shaft, permitting fine and accurate adjustment.</w:t>
      </w:r>
      <w:r>
        <w:t xml:space="preserve">”</w:t>
      </w:r>
      <w:r>
        <w:t xml:space="preserve"> </w:t>
      </w:r>
      <w:r>
        <w:t xml:space="preserve">“Vernier Dial,” in</w:t>
      </w:r>
      <w:r>
        <w:t xml:space="preserve"> </w:t>
      </w:r>
      <w:r>
        <w:rPr>
          <w:i/>
        </w:rPr>
        <w:t xml:space="preserve">McGraw-Hill Dictionary of Scientific &amp; Technical Terms</w:t>
      </w:r>
      <w:r>
        <w:t xml:space="preserve">, Sixth Edition., (The McGraw-Hill Companies, 2003)</w:t>
      </w:r>
      <w:r>
        <w:t xml:space="preserve">. They were named for the vernier scale, which performs a similar function for measurement: a secondary scale on a pair of calipers indicates with more granularity where a measurement lies</w:t>
      </w:r>
      <w:r>
        <w:t xml:space="preserve"> </w:t>
      </w:r>
      <w:r>
        <w:rPr>
          <w:i/>
        </w:rPr>
        <w:t xml:space="preserve">between</w:t>
      </w:r>
      <w:r>
        <w:t xml:space="preserve"> </w:t>
      </w:r>
      <w:r>
        <w:t xml:space="preserve">two marks on the primary scale. It was invented by the French mathematician Pierre Vernier (1580-1637).</w:t>
      </w:r>
      <w:r>
        <w:t xml:space="preserve"> </w:t>
      </w:r>
      <w:r>
        <w:t xml:space="preserve">“Vernier Scale,”</w:t>
      </w:r>
      <w:r>
        <w:t xml:space="preserve"> </w:t>
      </w:r>
      <w:r>
        <w:rPr>
          <w:i/>
        </w:rPr>
        <w:t xml:space="preserve">Wikipedia, the Free Encyclopedia</w:t>
      </w:r>
      <w:r>
        <w:t xml:space="preserve">, March 2015,</w:t>
      </w:r>
      <w:r>
        <w:t xml:space="preserve"> </w:t>
      </w:r>
      <w:hyperlink r:id="rId23">
        <w:r>
          <w:rPr>
            <w:rStyle w:val="Link"/>
          </w:rPr>
          <w:t xml:space="preserve">http://en.wikipedia.org/w/index.php?title=Vernier_scale&amp;oldid=649571489</w:t>
        </w:r>
      </w:hyperlink>
      <w:r>
        <w:t xml:space="preserve"/>
      </w:r>
      <w:r>
        <w:t xml:space="preserve">.</w:t>
      </w:r>
    </w:p>
    <w:p>
      <w:pPr>
        <w:pStyle w:val="FootnoteText"/>
      </w:pPr>
      <w:r>
        <w:drawing>
          <wp:inline>
            <wp:extent cx="19075400" cy="5118100"/>
            <wp:effectExtent b="0" l="0" r="0" t="0"/>
            <wp:docPr descr="" id="1" name="Picture"/>
            <a:graphic>
              <a:graphicData uri="http://schemas.openxmlformats.org/drawingml/2006/picture">
                <pic:pic>
                  <pic:nvPicPr>
                    <pic:cNvPr descr="images/straight_line_condenser1.png" id="0" name="Picture"/>
                    <pic:cNvPicPr>
                      <a:picLocks noChangeArrowheads="1" noChangeAspect="1"/>
                    </pic:cNvPicPr>
                  </pic:nvPicPr>
                  <pic:blipFill>
                    <a:blip r:embed="rId24"/>
                    <a:stretch>
                      <a:fillRect/>
                    </a:stretch>
                  </pic:blipFill>
                  <pic:spPr bwMode="auto">
                    <a:xfrm>
                      <a:off x="0" y="0"/>
                      <a:ext cx="19075400" cy="5118100"/>
                    </a:xfrm>
                    <a:prstGeom prst="rect">
                      <a:avLst/>
                    </a:prstGeom>
                    <a:noFill/>
                    <a:ln w="9525">
                      <a:noFill/>
                      <a:headEnd/>
                      <a:tailEnd/>
                    </a:ln>
                  </pic:spPr>
                </pic:pic>
              </a:graphicData>
            </a:graphic>
          </wp:inline>
        </w:drawing>
      </w:r>
      <w:r>
        <w:t xml:space="preserve"> </w:t>
      </w:r>
    </w:p>
    <w:p>
      <w:pPr>
        <w:pStyle w:val="FootnoteText"/>
      </w:pPr>
      <w:r>
        <w:drawing>
          <wp:inline>
            <wp:extent cx="6680200" cy="5549900"/>
            <wp:effectExtent b="0" l="0" r="0" t="0"/>
            <wp:docPr descr="" id="1" name="Picture"/>
            <a:graphic>
              <a:graphicData uri="http://schemas.openxmlformats.org/drawingml/2006/picture">
                <pic:pic>
                  <pic:nvPicPr>
                    <pic:cNvPr descr="images/straight_line_condenser2.png" id="0" name="Picture"/>
                    <pic:cNvPicPr>
                      <a:picLocks noChangeArrowheads="1" noChangeAspect="1"/>
                    </pic:cNvPicPr>
                  </pic:nvPicPr>
                  <pic:blipFill>
                    <a:blip r:embed="rId25"/>
                    <a:stretch>
                      <a:fillRect/>
                    </a:stretch>
                  </pic:blipFill>
                  <pic:spPr bwMode="auto">
                    <a:xfrm>
                      <a:off x="0" y="0"/>
                      <a:ext cx="6680200" cy="5549900"/>
                    </a:xfrm>
                    <a:prstGeom prst="rect">
                      <a:avLst/>
                    </a:prstGeom>
                    <a:noFill/>
                    <a:ln w="9525">
                      <a:noFill/>
                      <a:headEnd/>
                      <a:tailEnd/>
                    </a:ln>
                  </pic:spPr>
                </pic:pic>
              </a:graphicData>
            </a:graphic>
          </wp:inline>
        </w:drawing>
      </w:r>
      <w:r>
        <w:t xml:space="preserve"> </w:t>
      </w:r>
    </w:p>
    <w:p>
      <w:pPr>
        <w:pStyle w:val="FootnoteText"/>
      </w:pPr>
      <w:r>
        <w:drawing>
          <wp:inline>
            <wp:extent cx="6858000" cy="5956300"/>
            <wp:effectExtent b="0" l="0" r="0" t="0"/>
            <wp:docPr descr="" id="1" name="Picture"/>
            <a:graphic>
              <a:graphicData uri="http://schemas.openxmlformats.org/drawingml/2006/picture">
                <pic:pic>
                  <pic:nvPicPr>
                    <pic:cNvPr descr="images/straight_line_condenser3.png" id="0" name="Picture"/>
                    <pic:cNvPicPr>
                      <a:picLocks noChangeArrowheads="1" noChangeAspect="1"/>
                    </pic:cNvPicPr>
                  </pic:nvPicPr>
                  <pic:blipFill>
                    <a:blip r:embed="rId26"/>
                    <a:stretch>
                      <a:fillRect/>
                    </a:stretch>
                  </pic:blipFill>
                  <pic:spPr bwMode="auto">
                    <a:xfrm>
                      <a:off x="0" y="0"/>
                      <a:ext cx="6858000" cy="5956300"/>
                    </a:xfrm>
                    <a:prstGeom prst="rect">
                      <a:avLst/>
                    </a:prstGeom>
                    <a:noFill/>
                    <a:ln w="9525">
                      <a:noFill/>
                      <a:headEnd/>
                      <a:tailEnd/>
                    </a:ln>
                  </pic:spPr>
                </pic:pic>
              </a:graphicData>
            </a:graphic>
          </wp:inline>
        </w:drawing>
      </w:r>
      <w:r>
        <w:t xml:space="preserve"> </w:t>
      </w:r>
    </w:p>
  </w:footnote>
  <w:footnote w:id="27">
    <w:p>
      <w:pPr>
        <w:pStyle w:val="FootnoteText"/>
      </w:pPr>
      <w:r>
        <w:rPr>
          <w:rStyle w:val="FootnoteRef"/>
        </w:rPr>
        <w:footnoteRef/>
      </w:r>
      <w:r>
        <w:t xml:space="preserve">“</w:t>
      </w:r>
      <w:r>
        <w:t xml:space="preserve">Eliminator</w:t>
      </w:r>
      <w:r>
        <w:t xml:space="preserve">”</w:t>
      </w:r>
      <w:r>
        <w:t xml:space="preserve"> </w:t>
      </w:r>
      <w:r>
        <w:t xml:space="preserve">sets, first appearing on the market in 1926, drew their power from household wall outlets rather than batteries. No batteries meant much less wiring and a reduced appliance weight of 40 to 50 pounds.</w:t>
      </w:r>
      <w:r>
        <w:t xml:space="preserve"> </w:t>
      </w:r>
      <w:r>
        <w:t xml:space="preserve">Christopher H. Sterling,</w:t>
      </w:r>
      <w:r>
        <w:t xml:space="preserve"> </w:t>
      </w:r>
      <w:r>
        <w:rPr>
          <w:i/>
        </w:rPr>
        <w:t xml:space="preserve">Stay Tuned: a History of American Broadcasting</w:t>
      </w:r>
      <w:r>
        <w:t xml:space="preserve">, (Mahwah, N.J.: Lawrence Erlbaum Associates, 2002)</w:t>
      </w:r>
      <w:r>
        <w:t xml:space="preserve">, 91.</w:t>
      </w:r>
    </w:p>
  </w:footnote>
  <w:footnote w:id="28">
    <w:p>
      <w:pPr>
        <w:pStyle w:val="FootnoteText"/>
      </w:pPr>
      <w:r>
        <w:rPr>
          <w:rStyle w:val="FootnoteRef"/>
        </w:rPr>
        <w:footnoteRef/>
      </w:r>
      <w:r>
        <w:t xml:space="preserve">Shielding a radio set involved placing electrically conductive or magnetic materials between individual components in order to reduce the possibility of electromagnetic interference.</w:t>
      </w:r>
    </w:p>
  </w:footnote>
</w:footnotes>
</file>

<file path=word/numbering.xml><?xml version="1.0" encoding="utf-8"?>
<w:numbering xmlns:w="http://schemas.openxmlformats.org/wordprocessingml/2006/main">
  <w:abstractNum w:abstractNumId="0">
    <w:nsid w:val="95ef60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3" Target="http://en.wikipedia.org/w/index.php?title=Vernier_scale&amp;oldid=649571489" TargetMode="External" /></Relationships>
</file>

<file path=word/_rels/footnotes.xml.rels><?xml version="1.0" encoding="UTF-8"?>
<Relationships xmlns="http://schemas.openxmlformats.org/package/2006/relationships"><Relationship Type="http://schemas.openxmlformats.org/officeDocument/2006/relationships/hyperlink" Id="rId23" Target="http://en.wikipedia.org/w/index.php?title=Vernier_scale&amp;oldid=6495714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
</cp:coreProperties>
</file>