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4"/>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5"/>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30"/>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Fessenden’s case, contorolled heterodyning could boost a signal. But with the number of broadcast stations crowding the airwaves in the 1920s, natural heterodyning occured when two stations operating at closely-spaced frequencies produced unwanted interference for each of the signals. For more on the heterodyne principle, see</w:t>
      </w:r>
      <w:r>
        <w:t xml:space="preserve"> </w:t>
      </w:r>
      <w:r>
        <w:rPr>
          <w:b/>
        </w:rPr>
        <w:t xml:space="preserve">The Dynamophone.</w:t>
      </w:r>
    </w:p>
  </w:footnote>
  <w:footnote w:id="25">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It is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6">
        <w:r>
          <w:rPr>
            <w:rStyle w:val="Link"/>
          </w:rPr>
          <w:t xml:space="preserve">http://en.wikipedia.org/w/index.php?title=Vernier_scale&amp;oldid=649571489</w:t>
        </w:r>
      </w:hyperlink>
      <w:r>
        <w:t xml:space="preserve"/>
      </w:r>
      <w:r>
        <w:t xml:space="preserve">.</w:t>
      </w:r>
    </w:p>
    <w:p>
      <w:pPr>
        <w:pStyle w:val="FootnoteText"/>
      </w:pPr>
      <w:r>
        <w:drawing>
          <wp:inline>
            <wp:extent cx="19075400" cy="5118100"/>
            <wp:effectExtent b="0" l="0" r="0" t="0"/>
            <wp:docPr descr="" id="1" name="Picture"/>
            <a:graphic>
              <a:graphicData uri="http://schemas.openxmlformats.org/drawingml/2006/picture">
                <pic:pic>
                  <pic:nvPicPr>
                    <pic:cNvPr descr="images/straight_line_condenser1.png" id="0" name="Picture"/>
                    <pic:cNvPicPr>
                      <a:picLocks noChangeArrowheads="1" noChangeAspect="1"/>
                    </pic:cNvPicPr>
                  </pic:nvPicPr>
                  <pic:blipFill>
                    <a:blip r:embed="rId27"/>
                    <a:stretch>
                      <a:fillRect/>
                    </a:stretch>
                  </pic:blipFill>
                  <pic:spPr bwMode="auto">
                    <a:xfrm>
                      <a:off x="0" y="0"/>
                      <a:ext cx="19075400" cy="5118100"/>
                    </a:xfrm>
                    <a:prstGeom prst="rect">
                      <a:avLst/>
                    </a:prstGeom>
                    <a:noFill/>
                    <a:ln w="9525">
                      <a:noFill/>
                      <a:headEnd/>
                      <a:tailEnd/>
                    </a:ln>
                  </pic:spPr>
                </pic:pic>
              </a:graphicData>
            </a:graphic>
          </wp:inline>
        </w:drawing>
      </w:r>
      <w:r>
        <w:t xml:space="preserve"> </w:t>
      </w:r>
    </w:p>
    <w:p>
      <w:pPr>
        <w:pStyle w:val="FootnoteText"/>
      </w:pPr>
      <w:r>
        <w:drawing>
          <wp:inline>
            <wp:extent cx="6680200" cy="5549900"/>
            <wp:effectExtent b="0" l="0" r="0" t="0"/>
            <wp:docPr descr="" id="1" name="Picture"/>
            <a:graphic>
              <a:graphicData uri="http://schemas.openxmlformats.org/drawingml/2006/picture">
                <pic:pic>
                  <pic:nvPicPr>
                    <pic:cNvPr descr="images/straight_line_condenser2.png" id="0" name="Picture"/>
                    <pic:cNvPicPr>
                      <a:picLocks noChangeArrowheads="1" noChangeAspect="1"/>
                    </pic:cNvPicPr>
                  </pic:nvPicPr>
                  <pic:blipFill>
                    <a:blip r:embed="rId28"/>
                    <a:stretch>
                      <a:fillRect/>
                    </a:stretch>
                  </pic:blipFill>
                  <pic:spPr bwMode="auto">
                    <a:xfrm>
                      <a:off x="0" y="0"/>
                      <a:ext cx="6680200" cy="5549900"/>
                    </a:xfrm>
                    <a:prstGeom prst="rect">
                      <a:avLst/>
                    </a:prstGeom>
                    <a:noFill/>
                    <a:ln w="9525">
                      <a:noFill/>
                      <a:headEnd/>
                      <a:tailEnd/>
                    </a:ln>
                  </pic:spPr>
                </pic:pic>
              </a:graphicData>
            </a:graphic>
          </wp:inline>
        </w:drawing>
      </w:r>
      <w:r>
        <w:t xml:space="preserve"> </w:t>
      </w:r>
    </w:p>
    <w:p>
      <w:pPr>
        <w:pStyle w:val="FootnoteText"/>
      </w:pPr>
      <w:r>
        <w:drawing>
          <wp:inline>
            <wp:extent cx="6858000" cy="5956300"/>
            <wp:effectExtent b="0" l="0" r="0" t="0"/>
            <wp:docPr descr="" id="1" name="Picture"/>
            <a:graphic>
              <a:graphicData uri="http://schemas.openxmlformats.org/drawingml/2006/picture">
                <pic:pic>
                  <pic:nvPicPr>
                    <pic:cNvPr descr="images/straight_line_condenser3.png" id="0" name="Picture"/>
                    <pic:cNvPicPr>
                      <a:picLocks noChangeArrowheads="1" noChangeAspect="1"/>
                    </pic:cNvPicPr>
                  </pic:nvPicPr>
                  <pic:blipFill>
                    <a:blip r:embed="rId29"/>
                    <a:stretch>
                      <a:fillRect/>
                    </a:stretch>
                  </pic:blipFill>
                  <pic:spPr bwMode="auto">
                    <a:xfrm>
                      <a:off x="0" y="0"/>
                      <a:ext cx="6858000" cy="5956300"/>
                    </a:xfrm>
                    <a:prstGeom prst="rect">
                      <a:avLst/>
                    </a:prstGeom>
                    <a:noFill/>
                    <a:ln w="9525">
                      <a:noFill/>
                      <a:headEnd/>
                      <a:tailEnd/>
                    </a:ln>
                  </pic:spPr>
                </pic:pic>
              </a:graphicData>
            </a:graphic>
          </wp:inline>
        </w:drawing>
      </w:r>
      <w:r>
        <w:t xml:space="preserve"> </w:t>
      </w:r>
    </w:p>
  </w:footnote>
  <w:footnote w:id="30">
    <w:p>
      <w:pPr>
        <w:pStyle w:val="FootnoteText"/>
      </w:pPr>
      <w:r>
        <w:rPr>
          <w:rStyle w:val="FootnoteRef"/>
        </w:rPr>
        <w:footnoteRef/>
      </w:r>
      <w:r>
        <w:t xml:space="preserve">“</w:t>
      </w:r>
      <w:r>
        <w:t xml:space="preserve">Eliminator</w:t>
      </w:r>
      <w:r>
        <w:t xml:space="preserve">”</w:t>
      </w:r>
      <w:r>
        <w:t xml:space="preserve"> </w:t>
      </w:r>
      <w:r>
        <w:t xml:space="preserve">sets, first appearing on the market in 1926, drew their power from household wall outlets rather than batteries. No batteries meant much less wiring and a reduced appliance weight of 40 to 50 pounds.</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91.</w:t>
      </w:r>
    </w:p>
  </w:footnote>
</w:footnotes>
</file>

<file path=word/numbering.xml><?xml version="1.0" encoding="utf-8"?>
<w:numbering xmlns:w="http://schemas.openxmlformats.org/wordprocessingml/2006/main">
  <w:abstractNum w:abstractNumId="0">
    <w:nsid w:val="7c5e4a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