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r>
        <w:rPr>
          <w:rStyle w:val="FootnoteRef"/>
        </w:rPr>
        <w:footnoteReference w:id="24"/>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5"/>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us.[^stm]</w:t>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27"/>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More on the tinkerer’s aesthetic? On the one hand a prophet, on the other hand a repurposer. See</w:t>
      </w:r>
      <w:r>
        <w:t xml:space="preserve"> </w:t>
      </w:r>
      <w:r>
        <w:rPr>
          <w:b/>
        </w:rPr>
        <w:t xml:space="preserve">“</w:t>
      </w:r>
      <w:r>
        <w:rPr>
          <w:b/>
        </w:rPr>
        <w:t xml:space="preserve">Born and Mechanical Inventor.</w:t>
      </w:r>
      <w:r>
        <w:rPr>
          <w:b/>
        </w:rPr>
        <w:t xml:space="preserve">”</w:t>
      </w:r>
      <w:r>
        <w:t xml:space="preserve"> </w:t>
      </w:r>
      <w:r>
        <w:t xml:space="preserve">How does it square with the idea above that invention works through a series of mistakes (a mousetrap is really a good burglar alarm?)</w:t>
      </w:r>
    </w:p>
  </w:footnote>
  <w:footnote w:id="25">
    <w:p>
      <w:pPr>
        <w:pStyle w:val="FootnoteText"/>
      </w:pPr>
      <w:r>
        <w:rPr>
          <w:rStyle w:val="FootnoteRef"/>
        </w:rPr>
        <w:footnoteRef/>
      </w:r>
      <w:r>
        <w:t xml:space="preserve">Alexander Graham Bell was inspired by the work of his father, Alexander Melville Bell, whose alphabet of</w:t>
      </w:r>
      <w:r>
        <w:t xml:space="preserve"> </w:t>
      </w:r>
      <w:r>
        <w:t xml:space="preserve">“</w:t>
      </w:r>
      <w:r>
        <w:t xml:space="preserve">visual speech</w:t>
      </w:r>
      <w:r>
        <w:t xml:space="preserve">”</w:t>
      </w:r>
      <w:r>
        <w:t xml:space="preserve"> </w:t>
      </w:r>
      <w:r>
        <w:t xml:space="preserve">served as a pronunciation aid for deaf individuals. On the continued reciprocity between telephone technologies and the naturalization of hearing as an measurable, quantifiable capacity, see</w:t>
      </w:r>
      <w:r>
        <w:t xml:space="preserve"> </w:t>
      </w:r>
      <w:r>
        <w:t xml:space="preserve">Mara Mills, “Deafening: Noise and the Engineering of Communication in the Telephone System,”</w:t>
      </w:r>
      <w:r>
        <w:t xml:space="preserve"> </w:t>
      </w:r>
      <w:r>
        <w:rPr>
          <w:i/>
        </w:rPr>
        <w:t xml:space="preserve">Grey Room</w:t>
      </w:r>
      <w:r>
        <w:t xml:space="preserve">, -, (April 2011): 118–143, doi:</w:t>
      </w:r>
      <w:hyperlink r:id="rId26">
        <w:r>
          <w:rPr>
            <w:rStyle w:val="Link"/>
          </w:rPr>
          <w:t xml:space="preserve">10.1162/GREY_a_00028</w:t>
        </w:r>
      </w:hyperlink>
      <w:r>
        <w:t xml:space="preserve"/>
      </w:r>
      <w:r>
        <w:t xml:space="preserve">.</w:t>
      </w:r>
    </w:p>
  </w:footnote>
  <w:footnote w:id="27">
    <w:p>
      <w:pPr>
        <w:pStyle w:val="FootnoteText"/>
      </w:pPr>
      <w:r>
        <w:rPr>
          <w:rStyle w:val="FootnoteRef"/>
        </w:rPr>
        <w:footnoteRef/>
      </w:r>
      <w:r>
        <w:t xml:space="preserve">Legal precedent for using works of science fiction as</w:t>
      </w:r>
      <w:r>
        <w:t xml:space="preserve"> </w:t>
      </w:r>
      <w:r>
        <w:t xml:space="preserve">“</w:t>
      </w:r>
      <w:r>
        <w:t xml:space="preserve">prior art</w:t>
      </w:r>
      <w:r>
        <w:t xml:space="preserve">”</w:t>
      </w:r>
      <w:r>
        <w:t xml:space="preserve"> </w:t>
      </w:r>
      <w:r>
        <w:t xml:space="preserve">in patent law is hard to come by. But scientifiction stories, with their high degree of technical specificity, would theoretically have a better chance given that</w:t>
      </w:r>
      <w:r>
        <w:t xml:space="preserve"> </w:t>
      </w:r>
      <w:r>
        <w:t xml:space="preserve">“</w:t>
      </w:r>
      <w:r>
        <w:t xml:space="preserve">enablement</w:t>
      </w:r>
      <w:r>
        <w:t xml:space="preserve">”</w:t>
      </w:r>
      <w:r>
        <w:t xml:space="preserve">—a requirement at the core of patent law—means that a document must allow a person having ordinary skill in the art (PHOSITA) to make the device as described in order to constitute prior art.</w:t>
      </w:r>
      <w:r>
        <w:t xml:space="preserve"> </w:t>
      </w:r>
      <w:r>
        <w:t xml:space="preserve">Jeffrey H. Ingerman and Drew Schulte, “Should Science Fiction Affect Patentability?”</w:t>
      </w:r>
      <w:r>
        <w:t xml:space="preserve"> </w:t>
      </w:r>
      <w:r>
        <w:rPr>
          <w:i/>
        </w:rPr>
        <w:t xml:space="preserve">Law360</w:t>
      </w:r>
      <w:r>
        <w:t xml:space="preserve">, May 2013,</w:t>
      </w:r>
      <w:r>
        <w:t xml:space="preserve"> </w:t>
      </w:r>
      <w:hyperlink r:id="rId28">
        <w:r>
          <w:rPr>
            <w:rStyle w:val="Link"/>
          </w:rPr>
          <w:t xml:space="preserve">http://www.law360.com/articles/440742/should-science-fiction-affect-patentability</w:t>
        </w:r>
      </w:hyperlink>
      <w:r>
        <w:t xml:space="preserve"/>
      </w:r>
      <w:r>
        <w:t xml:space="preserve">. In a recent, well-known example, Samsung cited the use of tablet computers in Stanley Kubrick’s</w:t>
      </w:r>
      <w:r>
        <w:t xml:space="preserve"> </w:t>
      </w:r>
      <w:r>
        <w:rPr>
          <w:i/>
        </w:rPr>
        <w:t xml:space="preserve">2001: A Space Odyssey</w:t>
      </w:r>
      <w:r>
        <w:t xml:space="preserve"> </w:t>
      </w:r>
      <w:r>
        <w:t xml:space="preserve">during its patent battle with Apple over the iPad. While Judge Lucy Koh allowed examples such as commercial prototypes designed by Hewlett-Packard and Knight-Ridder to be used in the case, she ruled that Samsung could not use the film as evidence.</w:t>
      </w:r>
      <w:r>
        <w:t xml:space="preserve"> </w:t>
      </w:r>
      <w:r>
        <w:t xml:space="preserve">Jason Mick, “Judge Excludes Samsung’s ’Sci-Fi’ Tablet Evidence From Trial,”</w:t>
      </w:r>
      <w:r>
        <w:t xml:space="preserve"> </w:t>
      </w:r>
      <w:r>
        <w:rPr>
          <w:i/>
        </w:rPr>
        <w:t xml:space="preserve">Daily Tech</w:t>
      </w:r>
      <w:r>
        <w:t xml:space="preserve">, August 2012,</w:t>
      </w:r>
      <w:r>
        <w:t xml:space="preserve"> </w:t>
      </w:r>
      <w:hyperlink r:id="rId29">
        <w:r>
          <w:rPr>
            <w:rStyle w:val="Link"/>
          </w:rPr>
          <w:t xml:space="preserve">http://www.dailytech.com/Judge+Excludes+Samsungs+SciFi+Tablet+Evidence+From+Trial/article25329.htm</w:t>
        </w:r>
      </w:hyperlink>
      <w:r>
        <w:t xml:space="preserve"/>
      </w:r>
      <w:r>
        <w:t xml:space="preserve">.</w:t>
      </w:r>
    </w:p>
  </w:footnote>
</w:footnotes>
</file>

<file path=word/numbering.xml><?xml version="1.0" encoding="utf-8"?>
<w:numbering xmlns:w="http://schemas.openxmlformats.org/wordprocessingml/2006/main">
  <w:abstractNum w:abstractNumId="0">
    <w:nsid w:val="628e6d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