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Date"/>
      </w:pPr>
      <w:r>
        <w:t xml:space="preserve">October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r>
        <w:rPr>
          <w:rStyle w:val="FootnoteRef"/>
        </w:rPr>
        <w:footnoteReference w:id="24"/>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5"/>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us.[^stm]</w:t>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7"/>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More on the tinkerer’s aesthetic? On the one hand a prophet, on the other hand a repurposer. See</w:t>
      </w:r>
      <w:r>
        <w:t xml:space="preserve"> </w:t>
      </w:r>
      <w:r>
        <w:rPr>
          <w:b/>
        </w:rPr>
        <w:t xml:space="preserve">“</w:t>
      </w:r>
      <w:r>
        <w:rPr>
          <w:b/>
        </w:rPr>
        <w:t xml:space="preserve">Born and Mechanical Inventor.</w:t>
      </w:r>
      <w:r>
        <w:rPr>
          <w:b/>
        </w:rPr>
        <w:t xml:space="preserve">”</w:t>
      </w:r>
      <w:r>
        <w:t xml:space="preserve"> </w:t>
      </w:r>
      <w:r>
        <w:t xml:space="preserve">How does it square with the idea above that invention works through a series of mistakes (a mousetrap is really a good burglar alarm?)</w:t>
      </w:r>
    </w:p>
  </w:footnote>
  <w:footnote w:id="25">
    <w:p>
      <w:pPr>
        <w:pStyle w:val="FootnoteText"/>
      </w:pPr>
      <w:r>
        <w:rPr>
          <w:rStyle w:val="FootnoteRef"/>
        </w:rPr>
        <w:footnoteRef/>
      </w:r>
      <w:r>
        <w:t xml:space="preserve">Alexander Graham Bell was inspired by the work of his father, Alexander Melville Bell, whose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an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 (April 2011): 118–143, doi:</w:t>
      </w:r>
      <w:hyperlink r:id="rId26">
        <w:r>
          <w:rPr>
            <w:rStyle w:val="Link"/>
          </w:rPr>
          <w:t xml:space="preserve">10.1162/GREY_a_00028</w:t>
        </w:r>
      </w:hyperlink>
      <w:r>
        <w:t xml:space="preserve"/>
      </w:r>
      <w:r>
        <w:t xml:space="preserve">.</w:t>
      </w:r>
    </w:p>
  </w:footnote>
  <w:footnote w:id="27">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8">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9">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a3476d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162/GREY_a_00028" TargetMode="External" /><Relationship Type="http://schemas.openxmlformats.org/officeDocument/2006/relationships/hyperlink" Id="rId21" Target="http://gernsback.wythoff.net/192610_imagination_and_reality.html" TargetMode="External" /><Relationship Type="http://schemas.openxmlformats.org/officeDocument/2006/relationships/hyperlink" Id="rId29" Target="http://www.dailytech.com/Judge+Excludes+Samsungs+SciFi+Tablet+Evidence+From+Trial/article25329.htm" TargetMode="External" /><Relationship Type="http://schemas.openxmlformats.org/officeDocument/2006/relationships/hyperlink" Id="rId28" Target="http://www.law360.com/articles/440742/should-science-fiction-affect-patentability" TargetMode="External" /><Relationship Type="http://schemas.openxmlformats.org/officeDocument/2006/relationships/hyperlink" Id="rId23" Target="https://github.com/gwijthoff/perversity_of_things/blob/gh-pages/typeset_drafts/192610_imagination_and_reality.docx" TargetMode="External" /><Relationship Type="http://schemas.openxmlformats.org/officeDocument/2006/relationships/hyperlink" Id="rId22" Target="https://github.com/gwijthoff/perversity_of_things/blob/gh-pages/typeset_drafts/192610_imagination_and_realit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
</cp:coreProperties>
</file>