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w:t>
      </w:r>
      <w:r>
        <w:rPr>
          <w:rStyle w:val="FootnoteRef"/>
        </w:rPr>
        <w:footnoteReference w:id="21"/>
      </w:r>
      <w:r>
        <w:t xml:space="preserve"> </w:t>
      </w:r>
      <w:r>
        <w:t xml:space="preserve">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2"/>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r>
        <w:rPr>
          <w:rStyle w:val="FootnoteRef"/>
        </w:rPr>
        <w:footnoteReference w:id="23"/>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w:t>
      </w:r>
      <w:r>
        <w:rPr>
          <w:rStyle w:val="FootnoteRef"/>
        </w:rPr>
        <w:footnoteReference w:id="24"/>
      </w:r>
      <w:r>
        <w:t xml:space="preserve"> </w:t>
      </w:r>
      <w:r>
        <w:t xml:space="preserve">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r>
        <w:rPr>
          <w:rStyle w:val="FootnoteRef"/>
        </w:rPr>
        <w:footnoteReference w:id="26"/>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“Edison Calls Radio a Failure for Music; Thinks Phonograph Will Regain Its Own,”</w:t>
      </w:r>
      <w:r>
        <w:t xml:space="preserve"> </w:t>
      </w:r>
      <w:r>
        <w:rPr>
          <w:i/>
        </w:rPr>
        <w:t xml:space="preserve">The New York Times</w:t>
      </w:r>
      <w:r>
        <w:t xml:space="preserve">, (September 1926): 27</w:t>
      </w:r>
      <w:r>
        <w:t xml:space="preserve">.</w:t>
      </w:r>
    </w:p>
  </w:footnote>
  <w:footnote w:id="22">
    <w:p>
      <w:pPr>
        <w:pStyle w:val="FootnoteText"/>
      </w:pPr>
      <w:r>
        <w:rPr>
          <w:rStyle w:val="FootnoteRef"/>
        </w:rPr>
        <w:footnoteRef/>
      </w:r>
      <w:r>
        <w:t xml:space="preserve">Leroy F. Dyer, Managing Engineer of the Dyer Radio Manufactory, writes in a letter published in the February 1927 issue of</w:t>
      </w:r>
      <w:r>
        <w:t xml:space="preserve"> </w:t>
      </w:r>
      <w:r>
        <w:rPr>
          <w:i/>
        </w:rPr>
        <w:t xml:space="preserve">Radio News</w:t>
      </w:r>
      <w:r>
        <w:t xml:space="preserve">:</w:t>
      </w:r>
    </w:p>
    <w:p>
      <w:pPr>
        <w:pStyle w:val="BlockQuote"/>
        <w:pStyle w:val="FootnoteText"/>
      </w:pPr>
      <w:r>
        <w:t xml:space="preserve">I want to commend your lenient attitude in commenting upon the remarks, attributed to Mr. Edison, regarding the comparative merits of radio and the phonograph. In spite of the reverence due our great inventor, most of us could not have resisted a temptation to characterize such statements as propaganda. … It is not fair to compare the results of the average phonograph with the average radio receiver in reproducing music. The average phonograph of today is a highly-developed, scientifically-designed, factory-built piece of apparatus, the culmination of many years of experience. The average radio receiver—well, I don’t want to hurt anyone’s feelings, but to put it mildly, the</w:t>
      </w:r>
      <w:r>
        <w:t xml:space="preserve"> </w:t>
      </w:r>
      <w:r>
        <w:rPr>
          <w:i/>
        </w:rPr>
        <w:t xml:space="preserve">average</w:t>
      </w:r>
      <w:r>
        <w:t xml:space="preserve"> </w:t>
      </w:r>
      <w:r>
        <w:t xml:space="preserve">radio receiver is far from representing the present state of perfection in the radio art.</w:t>
      </w:r>
    </w:p>
  </w:footnote>
  <w:footnote w:id="23">
    <w:p>
      <w:pPr>
        <w:pStyle w:val="FootnoteText"/>
      </w:pPr>
      <w:r>
        <w:rPr>
          <w:rStyle w:val="FootnoteRef"/>
        </w:rPr>
        <w:footnoteRef/>
      </w:r>
      <w:r>
        <w:t xml:space="preserve">See</w:t>
      </w:r>
      <w:r>
        <w:t xml:space="preserve"> </w:t>
      </w:r>
      <w:r>
        <w:rPr>
          <w:b/>
        </w:rPr>
        <w:t xml:space="preserve">Thomas A. Edison Speaks to You</w:t>
      </w:r>
      <w:r>
        <w:t xml:space="preserve"> </w:t>
      </w:r>
      <w:r>
        <w:t xml:space="preserve">on the Edison effect.</w:t>
      </w:r>
    </w:p>
  </w:footnote>
  <w:footnote w:id="24">
    <w:p>
      <w:pPr>
        <w:pStyle w:val="FootnoteText"/>
      </w:pPr>
      <w:r>
        <w:rPr>
          <w:rStyle w:val="FootnoteRef"/>
        </w:rPr>
        <w:footnoteRef/>
      </w:r>
      <w:r>
        <w:t xml:space="preserve">With exhibitions from amateurs and corporations alike, the Radio World’s Fair was held at the newly opened third iteration of Madison Square Garden, beginning September 13, 1926.</w:t>
      </w:r>
    </w:p>
    <w:p>
      <w:pPr>
        <w:pStyle w:val="BlockQuote"/>
        <w:pStyle w:val="FootnoteText"/>
      </w:pPr>
      <w:r>
        <w:t xml:space="preserve">For the first time, under a single roof, the public will see all the marvelous new radio equipment that, only a few months ago, was in the experimental stage in a hundred research laboratories. It will not only be a demonstration of the tremendous advance in the radio engineering art, but the sets themselves will be encased in de luxe cabinets that make radio not just a luxury or a necessity in the home, but an actual adornment as well.</w:t>
      </w:r>
    </w:p>
    <w:p>
      <w:pPr>
        <w:pStyle w:val="FootnoteText"/>
      </w:pPr>
      <w:r>
        <w:t xml:space="preserve">“New York Radio Show Ushers In Era of New Development And Beginning of New Year,”</w:t>
      </w:r>
      <w:r>
        <w:t xml:space="preserve"> </w:t>
      </w:r>
      <w:r>
        <w:rPr>
          <w:i/>
        </w:rPr>
        <w:t xml:space="preserve">Brooklyn Daily Eagle</w:t>
      </w:r>
      <w:r>
        <w:t xml:space="preserve">, (September 1926): 10C,</w:t>
      </w:r>
      <w:r>
        <w:t xml:space="preserve"> </w:t>
      </w:r>
      <w:hyperlink r:id="rId25">
        <w:r>
          <w:rPr>
            <w:rStyle w:val="Link"/>
          </w:rPr>
          <w:t xml:space="preserve">http://www.newspapers.com/image/58266309/</w:t>
        </w:r>
      </w:hyperlink>
      <w:r>
        <w:t xml:space="preserve"/>
      </w:r>
      <w:r>
        <w:t xml:space="preserve">.</w:t>
      </w:r>
    </w:p>
  </w:footnote>
  <w:footnote w:id="26">
    <w:p>
      <w:pPr>
        <w:pStyle w:val="FootnoteText"/>
      </w:pPr>
      <w:r>
        <w:rPr>
          <w:rStyle w:val="FootnoteRef"/>
        </w:rPr>
        <w:footnoteRef/>
      </w:r>
      <w:r>
        <w:t xml:space="preserve">Enrico Caruso was an Italian opera tenor with a famously</w:t>
      </w:r>
      <w:r>
        <w:t xml:space="preserve"> </w:t>
      </w:r>
      <w:r>
        <w:t xml:space="preserve">“</w:t>
      </w:r>
      <w:r>
        <w:t xml:space="preserve">phonogenic</w:t>
      </w:r>
      <w:r>
        <w:t xml:space="preserve">”</w:t>
      </w:r>
      <w:r>
        <w:t xml:space="preserve"> </w:t>
      </w:r>
      <w:r>
        <w:t xml:space="preserve">voice, one that drove the sales of phonographs in the early twentieth century according to</w:t>
      </w:r>
      <w:r>
        <w:t xml:space="preserve"> </w:t>
      </w:r>
      <w:r>
        <w:t xml:space="preserve">John Potter,</w:t>
      </w:r>
      <w:r>
        <w:t xml:space="preserve"> </w:t>
      </w:r>
      <w:r>
        <w:rPr>
          <w:i/>
        </w:rPr>
        <w:t xml:space="preserve">Tenor: History of a Voice</w:t>
      </w:r>
      <w:r>
        <w:t xml:space="preserve">, (New Haven: Yale University Press, 2009)</w:t>
      </w:r>
      <w:r>
        <w:t xml:space="preserve">.</w:t>
      </w:r>
    </w:p>
  </w:footnote>
</w:footnotes>
</file>

<file path=word/numbering.xml><?xml version="1.0" encoding="utf-8"?>
<w:numbering xmlns:w="http://schemas.openxmlformats.org/wordprocessingml/2006/main">
  <w:abstractNum w:abstractNumId="0">
    <w:nsid w:val="445235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newspapers.com/image/58266309/" TargetMode="External" /></Relationships>
</file>

<file path=word/_rels/footnotes.xml.rels><?xml version="1.0" encoding="UTF-8"?>
<Relationships xmlns="http://schemas.openxmlformats.org/package/2006/relationships"><Relationship Type="http://schemas.openxmlformats.org/officeDocument/2006/relationships/hyperlink" Id="rId25" Target="http://www.newspapers.com/image/582663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