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Authors"/>
      </w:pPr>
      <w:r>
        <w:t xml:space="preserve">Radio</w:t>
      </w:r>
      <w:r>
        <w:t xml:space="preserve"> </w:t>
      </w:r>
      <w:r>
        <w:t xml:space="preserve">News,</w:t>
      </w:r>
      <w:r>
        <w:t xml:space="preserve"> </w:t>
      </w:r>
      <w:r>
        <w:t xml:space="preserve">vol. 8</w:t>
      </w:r>
      <w:r>
        <w:t xml:space="preserve"> </w:t>
      </w:r>
      <w:r>
        <w:t xml:space="preserve">no.</w:t>
      </w:r>
      <w:r>
        <w:t xml:space="preserve"> </w:t>
      </w:r>
      <w:r>
        <w:t xml:space="preserve">8</w:t>
      </w:r>
    </w:p>
    <w:p>
      <w:pPr>
        <w:pStyle w:val="Date"/>
      </w:pPr>
      <w:r>
        <w:t xml:space="preserve">February</w:t>
      </w:r>
      <w:r>
        <w:t xml:space="preserve"> </w:t>
      </w:r>
      <w:r>
        <w:t xml:space="preserve">1927</w: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w:t>
      </w:r>
      <w:r>
        <w:rPr>
          <w:rStyle w:val="FootnoteRef"/>
        </w:rPr>
        <w:footnoteReference w:id="21"/>
      </w:r>
      <w:r>
        <w:t xml:space="preserve"> </w:t>
      </w:r>
      <w:r>
        <w:t xml:space="preserve">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will</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w:t>
      </w:r>
      <w:r>
        <w:rPr>
          <w:rStyle w:val="FootnoteRef"/>
        </w:rPr>
        <w:footnoteReference w:id="22"/>
      </w:r>
      <w:r>
        <w:t xml:space="preserve"> </w:t>
      </w:r>
      <w:r>
        <w:t xml:space="preserve">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 discusses shielding in</w:t>
      </w:r>
      <w:r>
        <w:t xml:space="preserve"> </w:t>
      </w:r>
      <w:r>
        <w:rPr>
          <w:b/>
        </w:rPr>
        <w:t xml:space="preserve">“</w:t>
      </w:r>
      <w:r>
        <w:rPr>
          <w:b/>
        </w:rPr>
        <w:t xml:space="preserve">Is Radio at a Standstill?</w:t>
      </w:r>
      <w:r>
        <w:rPr>
          <w:b/>
        </w:rPr>
        <w:t xml:space="preserve">”</w:t>
      </w:r>
    </w:p>
  </w:footnote>
  <w:footnote w:id="22">
    <w:p>
      <w:pPr>
        <w:pStyle w:val="FootnoteText"/>
      </w:pPr>
      <w:r>
        <w:rPr>
          <w:rStyle w:val="FootnoteRef"/>
        </w:rPr>
        <w:footnoteRef/>
      </w:r>
      <w:r>
        <w:t xml:space="preserve">For an explanation of straight-line frequency condensers and vernier dials, see</w:t>
      </w:r>
      <w:r>
        <w:t xml:space="preserve"> </w:t>
      </w:r>
      <w:r>
        <w:rPr>
          <w:b/>
        </w:rPr>
        <w:t xml:space="preserve">“</w:t>
      </w:r>
      <w:r>
        <w:rPr>
          <w:b/>
        </w:rPr>
        <w:t xml:space="preserve">Is Radio at a Standstill?</w:t>
      </w:r>
      <w:r>
        <w:rPr>
          <w:b/>
        </w:rPr>
        <w:t xml:space="preserve">”</w:t>
      </w:r>
    </w:p>
  </w:footnote>
</w:footnotes>
</file>

<file path=word/numbering.xml><?xml version="1.0" encoding="utf-8"?>
<w:numbering xmlns:w="http://schemas.openxmlformats.org/wordprocessingml/2006/main">
  <w:abstractNum w:abstractNumId="0">
    <w:nsid w:val="4aad01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Radio News, vol. 8 no. 8</dc:creator>
</cp:coreProperties>
</file>