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w:t>
      </w:r>
      <w:r>
        <w:rPr>
          <w:rStyle w:val="FootnoteRef"/>
        </w:rPr>
        <w:footnoteReference w:id="24"/>
      </w:r>
      <w:r>
        <w:t xml:space="preserve"> </w:t>
      </w:r>
      <w:r>
        <w:t xml:space="preserve">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will</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w:t>
      </w:r>
      <w:r>
        <w:rPr>
          <w:rStyle w:val="FootnoteRef"/>
        </w:rPr>
        <w:footnoteReference w:id="25"/>
      </w:r>
      <w:r>
        <w:t xml:space="preserve"> </w:t>
      </w:r>
      <w:r>
        <w:t xml:space="preserve">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r>
        <w:rPr>
          <w:rStyle w:val="FootnoteRef"/>
        </w:rPr>
        <w:footnoteReference w:id="26"/>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r>
        <w:rPr>
          <w:rStyle w:val="FootnoteRef"/>
        </w:rPr>
        <w:footnoteReference w:id="27"/>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discusses shielding in</w:t>
      </w:r>
      <w:r>
        <w:t xml:space="preserve"> </w:t>
      </w:r>
      <w:r>
        <w:rPr>
          <w:b/>
        </w:rPr>
        <w:t xml:space="preserve">“</w:t>
      </w:r>
      <w:r>
        <w:rPr>
          <w:b/>
        </w:rPr>
        <w:t xml:space="preserve">Is Radio at a Standstill?</w:t>
      </w:r>
      <w:r>
        <w:rPr>
          <w:b/>
        </w:rPr>
        <w:t xml:space="preserve">”</w:t>
      </w:r>
    </w:p>
  </w:footnote>
  <w:footnote w:id="25">
    <w:p>
      <w:pPr>
        <w:pStyle w:val="FootnoteText"/>
      </w:pPr>
      <w:r>
        <w:rPr>
          <w:rStyle w:val="FootnoteRef"/>
        </w:rPr>
        <w:footnoteRef/>
      </w:r>
      <w:r>
        <w:t xml:space="preserve">For an explanation of straight-line frequency condensers and vernier dials, see</w:t>
      </w:r>
      <w:r>
        <w:t xml:space="preserve"> </w:t>
      </w:r>
      <w:r>
        <w:rPr>
          <w:b/>
        </w:rPr>
        <w:t xml:space="preserve">“</w:t>
      </w:r>
      <w:r>
        <w:rPr>
          <w:b/>
        </w:rPr>
        <w:t xml:space="preserve">Is Radio at a Standstill?</w:t>
      </w:r>
      <w:r>
        <w:rPr>
          <w:b/>
        </w:rPr>
        <w:t xml:space="preserve">”</w:t>
      </w:r>
    </w:p>
  </w:footnote>
  <w:footnote w:id="26">
    <w:p>
      <w:pPr>
        <w:pStyle w:val="FootnoteText"/>
      </w:pPr>
      <w:r>
        <w:rPr>
          <w:rStyle w:val="FootnoteRef"/>
        </w:rPr>
        <w:footnoteRef/>
      </w:r>
      <w:r>
        <w:t xml:space="preserve">In an editorial for</w:t>
      </w:r>
      <w:r>
        <w:t xml:space="preserve"> </w:t>
      </w:r>
      <w:r>
        <w:rPr>
          <w:i/>
        </w:rPr>
        <w:t xml:space="preserve">Science and Invention</w:t>
      </w:r>
      <w:r>
        <w:t xml:space="preserve"> </w:t>
      </w:r>
      <w:r>
        <w:t xml:space="preserve">titled</w:t>
      </w:r>
      <w:r>
        <w:t xml:space="preserve"> </w:t>
      </w:r>
      <w:r>
        <w:t xml:space="preserve">“</w:t>
      </w:r>
      <w:r>
        <w:t xml:space="preserve">Handicraft</w:t>
      </w:r>
      <w:r>
        <w:t xml:space="preserve">”</w:t>
      </w:r>
      <w:r>
        <w:t xml:space="preserve"> </w:t>
      </w:r>
      <w:r>
        <w:t xml:space="preserve">and published in the same month as this piece, Gernsback advocates for the importance of making things as a hobby for the white collar worker. Tinkering isn’t just a means of diversion or release after the working day is over, it serves as an education in tools, materials, and techniques. For Gernsback, the know-how that emerges from the experience of making things is cascading: hands gradually feeling their way along an interlocking series of dependent skills and material properties.</w:t>
      </w:r>
    </w:p>
    <w:p>
      <w:pPr>
        <w:pStyle w:val="BlockQuote"/>
        <w:pStyle w:val="FootnoteText"/>
      </w:pPr>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pPr>
        <w:pStyle w:val="FootnoteText"/>
      </w:pPr>
      <w:r>
        <w:t xml:space="preserve">Hugo Gernsback, “Handicraft,”</w:t>
      </w:r>
      <w:r>
        <w:t xml:space="preserve"> </w:t>
      </w:r>
      <w:r>
        <w:rPr>
          <w:i/>
        </w:rPr>
        <w:t xml:space="preserve">Science and Invention</w:t>
      </w:r>
      <w:r>
        <w:t xml:space="preserve">, 14, no. 10, (February 1927): 881</w:t>
      </w:r>
    </w:p>
  </w:footnote>
  <w:footnote w:id="27">
    <w:p>
      <w:pPr>
        <w:pStyle w:val="FootnoteText"/>
      </w:pPr>
      <w:r>
        <w:rPr>
          <w:rStyle w:val="FootnoteRef"/>
        </w:rPr>
        <w:footnoteRef/>
      </w:r>
      <w:r>
        <w:t xml:space="preserve">This was a recurring argument in Gernsback’s editorials throughout the 1920s: that that the next great innovations, like television, would come not from corporate R&amp;D labs, but from the avant garde of enterprising amateurs who could afford to take risks and try out wacky ideas. But the unfounded optimism of the idea that independent amateurs were the engine of emerging media became clear by the end of the decade.</w:t>
      </w:r>
      <w:r>
        <w:t xml:space="preserve"> </w:t>
      </w:r>
      <w:r>
        <w:rPr>
          <w:i/>
        </w:rPr>
        <w:t xml:space="preserve">Radio News</w:t>
      </w:r>
      <w:r>
        <w:t xml:space="preserve"> </w:t>
      </w:r>
      <w:r>
        <w:t xml:space="preserve">announced in January 1929 that it would end its monthly</w:t>
      </w:r>
      <w:r>
        <w:t xml:space="preserve"> </w:t>
      </w:r>
      <w:r>
        <w:t xml:space="preserve">“</w:t>
      </w:r>
      <w:r>
        <w:t xml:space="preserve">constructional prize contest</w:t>
      </w:r>
      <w:r>
        <w:t xml:space="preserve">”</w:t>
      </w:r>
      <w:r>
        <w:t xml:space="preserve"> </w:t>
      </w:r>
      <w:r>
        <w:t xml:space="preserve">due to a lack of quality submissions:</w:t>
      </w:r>
    </w:p>
    <w:p>
      <w:pPr>
        <w:pStyle w:val="BlockQuote"/>
        <w:pStyle w:val="FootnoteText"/>
      </w:pPr>
      <w:r>
        <w:t xml:space="preserve">The rules of the contest stated very plainly that no one would be eligible for a prize unless some experimental work had been done and the practicability of the device had been demonstrated by the builder. Most of the entries consisted merely of ideas or suggestions, accompanied by the request that RADIO NEWS do the experimental work necessary for their full development.</w:t>
      </w:r>
    </w:p>
    <w:p>
      <w:pPr>
        <w:pStyle w:val="FootnoteText"/>
      </w:pPr>
      <w:r>
        <w:t xml:space="preserve">“End of Monthly Constructional Prize Contest,”</w:t>
      </w:r>
      <w:r>
        <w:t xml:space="preserve"> </w:t>
      </w:r>
      <w:r>
        <w:rPr>
          <w:i/>
        </w:rPr>
        <w:t xml:space="preserve">Radio News</w:t>
      </w:r>
      <w:r>
        <w:t xml:space="preserve">, 10, no. 7, (January 1929): 651</w:t>
      </w:r>
      <w:r>
        <w:t xml:space="preserve">.</w:t>
      </w:r>
    </w:p>
  </w:footnote>
</w:footnotes>
</file>

<file path=word/numbering.xml><?xml version="1.0" encoding="utf-8"?>
<w:numbering xmlns:w="http://schemas.openxmlformats.org/wordprocessingml/2006/main">
  <w:abstractNum w:abstractNumId="0">
    <w:nsid w:val="31db63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