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Authors"/>
      </w:pPr>
      <w:r>
        <w:t xml:space="preserve">Radio</w:t>
      </w:r>
      <w:r>
        <w:t xml:space="preserve"> </w:t>
      </w:r>
      <w:r>
        <w:t xml:space="preserve">News,</w:t>
      </w:r>
      <w:r>
        <w:t xml:space="preserve"> </w:t>
      </w:r>
      <w:r>
        <w:t xml:space="preserve">vol. 9</w:t>
      </w:r>
      <w:r>
        <w:t xml:space="preserve"> </w:t>
      </w:r>
      <w:r>
        <w:t xml:space="preserve">no.</w:t>
      </w:r>
      <w:r>
        <w:t xml:space="preserve"> </w:t>
      </w:r>
      <w:r>
        <w:t xml:space="preserve">1</w:t>
      </w:r>
    </w:p>
    <w:p>
      <w:pPr>
        <w:pStyle w:val="Date"/>
      </w:pPr>
      <w:r>
        <w:t xml:space="preserve">July</w:t>
      </w:r>
      <w:r>
        <w:t xml:space="preserve"> </w:t>
      </w:r>
      <w:r>
        <w:t xml:space="preserve">1927</w: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system has not met with much success or encouragement in application to broadcasting; although this can be accomplished by wired radio over any existing lines, be they telephone or telegraph, electric-light or power.</w:t>
      </w:r>
      <w:r>
        <w:rPr>
          <w:rStyle w:val="FootnoteRef"/>
        </w:rPr>
        <w:footnoteReference w:id="21"/>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r>
        <w:rPr>
          <w:rStyle w:val="FootnoteRef"/>
        </w:rPr>
        <w:footnoteReference w:id="22"/>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[i.e. telegraph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 w:id="22">
    <w:p>
      <w:pPr>
        <w:pStyle w:val="FootnoteText"/>
      </w:pPr>
      <w:r>
        <w:rPr>
          <w:rStyle w:val="FootnoteRef"/>
        </w:rPr>
        <w:footnoteRef/>
      </w:r>
      <w:r>
        <w:t xml:space="preserve">Gernsback made a similar point in a</w:t>
      </w:r>
      <w:r>
        <w:t xml:space="preserve"> </w:t>
      </w:r>
      <w:r>
        <w:rPr>
          <w:i/>
        </w:rPr>
        <w:t xml:space="preserve">New York Times</w:t>
      </w:r>
      <w:r>
        <w:t xml:space="preserve"> </w:t>
      </w:r>
      <w:r>
        <w:t xml:space="preserve">editorial earlier that year about the pitfalls of any system that would require listeners to pay for broadcast content, whether directly as subscribers or indirectly through state ownership and taxation. Criticizing the state ownership of radio broadcasting in Europe in an argument that evokes the influential aphorism attributed to Stewart Brand,</w:t>
      </w:r>
      <w:r>
        <w:t xml:space="preserve"> </w:t>
      </w:r>
      <w:r>
        <w:t xml:space="preserve">“</w:t>
      </w:r>
      <w:r>
        <w:t xml:space="preserve">information wants to be free,</w:t>
      </w:r>
      <w:r>
        <w:t xml:space="preserve">”</w:t>
      </w:r>
      <w:r>
        <w:t xml:space="preserve"> </w:t>
      </w:r>
      <w:r>
        <w:t xml:space="preserve">Gernsback writes:</w:t>
      </w:r>
    </w:p>
    <w:p>
      <w:pPr>
        <w:pStyle w:val="BlockQuote"/>
        <w:pStyle w:val="FootnoteText"/>
      </w:pPr>
      <w:r>
        <w:t xml:space="preserve">It has always been the contention of leaders in the American radio industry that the European method of paid listeners’ programs [taxed in this model, as opposed to the privatized subscriptions of</w:t>
      </w:r>
      <w:r>
        <w:t xml:space="preserve"> </w:t>
      </w:r>
      <w:r>
        <w:t xml:space="preserve">“</w:t>
      </w:r>
      <w:r>
        <w:t xml:space="preserve">wired radio</w:t>
      </w:r>
      <w:r>
        <w:t xml:space="preserve">”</w:t>
      </w:r>
      <w:r>
        <w:t xml:space="preserve">] was economically unsound. . . . The reason is that a sufficient number of listeners will not pay a fee and an entirely too large proportion of European listeners use</w:t>
      </w:r>
      <w:r>
        <w:t xml:space="preserve"> </w:t>
      </w:r>
      <w:r>
        <w:t xml:space="preserve">“</w:t>
      </w:r>
      <w:r>
        <w:t xml:space="preserve">bootleg</w:t>
      </w:r>
      <w:r>
        <w:t xml:space="preserve">”</w:t>
      </w:r>
      <w:r>
        <w:t xml:space="preserve"> </w:t>
      </w:r>
      <w:r>
        <w:t xml:space="preserve">radio outfits and listen in secretly.</w:t>
      </w:r>
    </w:p>
    <w:p>
      <w:pPr>
        <w:pStyle w:val="FootnoteText"/>
      </w:pPr>
      <w:r>
        <w:t xml:space="preserve">Hugo Gernsback, “Wellsian Opinion of Radio Tinged with Provincialism,”</w:t>
      </w:r>
      <w:r>
        <w:t xml:space="preserve"> </w:t>
      </w:r>
      <w:r>
        <w:rPr>
          <w:i/>
        </w:rPr>
        <w:t xml:space="preserve">The New York Times</w:t>
      </w:r>
      <w:r>
        <w:t xml:space="preserve">, (April 1927)</w:t>
      </w:r>
    </w:p>
  </w:footnote>
</w:footnotes>
</file>

<file path=word/numbering.xml><?xml version="1.0" encoding="utf-8"?>
<w:numbering xmlns:w="http://schemas.openxmlformats.org/wordprocessingml/2006/main">
  <w:abstractNum w:abstractNumId="0">
    <w:nsid w:val="ee4270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Radio News, vol. 9 no. 1</dc:creator>
</cp:coreProperties>
</file>