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drawing>
          <wp:inline>
            <wp:extent cx="8255000" cy="11379200"/>
            <wp:effectExtent b="0" l="0" r="0" t="0"/>
            <wp:docPr descr="" id="1" name="Picture"/>
            <a:graphic>
              <a:graphicData uri="http://schemas.openxmlformats.org/drawingml/2006/picture">
                <pic:pic>
                  <pic:nvPicPr>
                    <pic:cNvPr descr="images/rn_cover_192710.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but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5"/>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over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79.</w:t>
      </w:r>
    </w:p>
    <w:p>
      <w:pPr>
        <w:pStyle w:val="FootnoteText"/>
      </w:pPr>
      <w:r>
        <w:t xml:space="preserve">For more on the government’s patent seizure, see</w:t>
      </w:r>
      <w:r>
        <w:t xml:space="preserve"> </w:t>
      </w:r>
      <w:r>
        <w:rPr>
          <w:b/>
        </w:rPr>
        <w:t xml:space="preserve">Silencing America’s Wireless.</w:t>
      </w:r>
    </w:p>
  </w:footnote>
</w:footnotes>
</file>

<file path=word/numbering.xml><?xml version="1.0" encoding="utf-8"?>
<w:numbering xmlns:w="http://schemas.openxmlformats.org/wordprocessingml/2006/main">
  <w:abstractNum w:abstractNumId="0">
    <w:nsid w:val="3df736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