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drawing>
          <wp:inline>
            <wp:extent cx="8255000" cy="11379200"/>
            <wp:effectExtent b="0" l="0" r="0" t="0"/>
            <wp:docPr descr="" id="1" name="Picture"/>
            <a:graphic>
              <a:graphicData uri="http://schemas.openxmlformats.org/drawingml/2006/picture">
                <pic:pic>
                  <pic:nvPicPr>
                    <pic:cNvPr descr="images/rn_cover_192710.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but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r>
        <w:rPr>
          <w:rStyle w:val="FootnoteRef"/>
        </w:rPr>
        <w:footnoteReference w:id="22"/>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build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The Radio Corporation of America was formed in 1919 as a</w:t>
      </w:r>
      <w:r>
        <w:t xml:space="preserve"> </w:t>
      </w:r>
      <w:r>
        <w:t xml:space="preserve">“</w:t>
      </w:r>
      <w:r>
        <w:t xml:space="preserve">private</w:t>
      </w:r>
      <w:r>
        <w:t xml:space="preserve">”</w:t>
      </w:r>
      <w:r>
        <w:t xml:space="preserve"> </w:t>
      </w:r>
      <w:r>
        <w:t xml:space="preserve">company that could take over all of the patents that the United States government had seized during World War I. Tim Wu:</w:t>
      </w:r>
    </w:p>
    <w:p>
      <w:pPr>
        <w:pStyle w:val="BlockQuote"/>
        <w:pStyle w:val="FootnoteText"/>
      </w:pPr>
      <w:r>
        <w:t xml:space="preserve">Structurally the RCA was rather like the BBC, a national champion; but unlike the British company, it was neither established nor sustained with public duties. Rather, in 1919, the RCA was formed mainly in response to the navy’s insistence that all vital radio technologies be held by an American firm, in the interests of national security. And so RCA was fashioned out of the existing American Marconi Company to pool and exploit the rights to use more than two thousand patents owned by General Electric, United Fruit, Westinghouse, and AT&amp;T.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79.</w:t>
      </w:r>
    </w:p>
    <w:p>
      <w:pPr>
        <w:pStyle w:val="FootnoteText"/>
      </w:pPr>
      <w:r>
        <w:t xml:space="preserve">For more on the government’s patent seizure, see</w:t>
      </w:r>
      <w:r>
        <w:t xml:space="preserve"> </w:t>
      </w:r>
      <w:r>
        <w:rPr>
          <w:b/>
        </w:rPr>
        <w:t xml:space="preserve">Silencing America’s Wireless.</w:t>
      </w:r>
    </w:p>
  </w:footnote>
</w:footnotes>
</file>

<file path=word/numbering.xml><?xml version="1.0" encoding="utf-8"?>
<w:numbering xmlns:w="http://schemas.openxmlformats.org/wordprocessingml/2006/main">
  <w:abstractNum w:abstractNumId="0">
    <w:nsid w:val="2f16c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