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4"/>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r>
        <w:rPr>
          <w:rStyle w:val="FootnoteRef"/>
        </w:rPr>
        <w:footnoteReference w:id="26"/>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the United States, 200 to 600 MHz is now allocated exclusively for federal government use. Over-the-air television is broadcast from 470 to 512 MHz. For a browsable visualization of current frequency allocation, see</w:t>
      </w:r>
      <w:r>
        <w:t xml:space="preserve"> </w:t>
      </w:r>
      <w:hyperlink r:id="rId25">
        <w:r>
          <w:rPr>
            <w:rStyle w:val="Link"/>
          </w:rPr>
          <w:t xml:space="preserve">http://reboot.fcc.gov/spectrumdashboard/</w:t>
        </w:r>
      </w:hyperlink>
      <w:r>
        <w:t xml:space="preserve">.</w:t>
      </w:r>
    </w:p>
  </w:footnote>
  <w:footnote w:id="26">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w:t>
      </w:r>
    </w:p>
  </w:footnote>
</w:footnotes>
</file>

<file path=word/numbering.xml><?xml version="1.0" encoding="utf-8"?>
<w:numbering xmlns:w="http://schemas.openxmlformats.org/wordprocessingml/2006/main">
  <w:abstractNum w:abstractNumId="0">
    <w:nsid w:val="312a58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