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w:t>
      </w:r>
      <w:r>
        <w:rPr>
          <w:rStyle w:val="FootnoteRef"/>
        </w:rPr>
        <w:footnoteReference w:id="24"/>
      </w:r>
      <w:r>
        <w:t xml:space="preserve"> </w:t>
      </w:r>
      <w:r>
        <w:t xml:space="preserve">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r>
        <w:rPr>
          <w:rStyle w:val="FootnoteRef"/>
        </w:rPr>
        <w:footnoteReference w:id="27"/>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r>
        <w:rPr>
          <w:rStyle w:val="FootnoteRef"/>
        </w:rPr>
        <w:footnoteReference w:id="28"/>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mechanical television Gernsback discusses here is a flying spot scanner, which produces an image by casting a bright beam of light onto an object and detecting its reflection off the surface of that object. The</w:t>
      </w:r>
      <w:r>
        <w:t xml:space="preserve"> </w:t>
      </w:r>
      <w:r>
        <w:t xml:space="preserve">“</w:t>
      </w:r>
      <w:r>
        <w:t xml:space="preserve">carbons</w:t>
      </w:r>
      <w:r>
        <w:t xml:space="preserve">”</w:t>
      </w:r>
      <w:r>
        <w:t xml:space="preserve"> </w:t>
      </w:r>
      <w:r>
        <w:t xml:space="preserve">he refers to as frequently requiring replacement are likely the powerful arc lamps projecting that beam of light. In a profile of Charles F. Jenkins’s television studio later this issue, the flying spot scanning system is described as</w:t>
      </w:r>
    </w:p>
    <w:p>
      <w:pPr>
        <w:pStyle w:val="BlockQuote"/>
        <w:pStyle w:val="FootnoteText"/>
      </w:pPr>
      <w:r>
        <w:t xml:space="preserve">comprising the beam projector and the photo-electric cell banks. The former is a powerful arc lamp in a large housing, provided with an enclosing scanning disc and with three lenses of different focal lengths; the assembly being mounted on a swivel pedestal resembling the usual barber’s chair base. The operator can readily aim the flying-spot beam at the subject and, by using the proper lens, cover the desired area for a close-up, half length or long shot, without changing the relative positions of either the subject or scanner. The scanner operates on the standard system of 60 lines, 20 pictures per second.</w:t>
      </w:r>
    </w:p>
    <w:p>
      <w:pPr>
        <w:pStyle w:val="FootnoteText"/>
      </w:pPr>
      <w:r>
        <w:drawing>
          <wp:inline>
            <wp:extent cx="10274300" cy="6350000"/>
            <wp:effectExtent b="0" l="0" r="0" t="0"/>
            <wp:docPr descr="" id="1" name="Picture"/>
            <a:graphic>
              <a:graphicData uri="http://schemas.openxmlformats.org/drawingml/2006/picture">
                <pic:pic>
                  <pic:nvPicPr>
                    <pic:cNvPr descr="images/flying_spot.png" id="0" name="Picture"/>
                    <pic:cNvPicPr>
                      <a:picLocks noChangeArrowheads="1" noChangeAspect="1"/>
                    </pic:cNvPicPr>
                  </pic:nvPicPr>
                  <pic:blipFill>
                    <a:blip r:embed="rId25"/>
                    <a:stretch>
                      <a:fillRect/>
                    </a:stretch>
                  </pic:blipFill>
                  <pic:spPr bwMode="auto">
                    <a:xfrm>
                      <a:off x="0" y="0"/>
                      <a:ext cx="10274300" cy="6350000"/>
                    </a:xfrm>
                    <a:prstGeom prst="rect">
                      <a:avLst/>
                    </a:prstGeom>
                    <a:noFill/>
                    <a:ln w="9525">
                      <a:noFill/>
                      <a:headEnd/>
                      <a:tailEnd/>
                    </a:ln>
                  </pic:spPr>
                </pic:pic>
              </a:graphicData>
            </a:graphic>
          </wp:inline>
        </w:drawing>
      </w:r>
      <w:r>
        <w:t xml:space="preserve"> </w:t>
      </w:r>
    </w:p>
    <w:p>
      <w:pPr>
        <w:pStyle w:val="FootnoteText"/>
      </w:pPr>
      <w:r>
        <w:t xml:space="preserve">D.E. Replogle, “The Jenkins New York Studio,”</w:t>
      </w:r>
      <w:r>
        <w:t xml:space="preserve"> </w:t>
      </w:r>
      <w:r>
        <w:rPr>
          <w:i/>
        </w:rPr>
        <w:t xml:space="preserve">Television News</w:t>
      </w:r>
      <w:r>
        <w:t xml:space="preserve">, 1, no. 3, (August 1931): 170–171</w:t>
      </w:r>
      <w:r>
        <w:t xml:space="preserve">.</w:t>
      </w:r>
    </w:p>
    <w:p>
      <w:pPr>
        <w:pStyle w:val="FootnoteText"/>
      </w:pPr>
      <w:r>
        <w:t xml:space="preserve">A working replica of the apparatus was made by the Early Television Museum in Ohio.</w:t>
      </w:r>
      <w:r>
        <w:t xml:space="preserve"> </w:t>
      </w:r>
      <w:hyperlink r:id="rId26">
        <w:r>
          <w:rPr>
            <w:rStyle w:val="Link"/>
          </w:rPr>
          <w:t xml:space="preserve">http://www.earlytelevision.org/fss_camera.html</w:t>
        </w:r>
      </w:hyperlink>
      <w:r>
        <w:t xml:space="preserve">.</w:t>
      </w:r>
    </w:p>
  </w:footnote>
  <w:footnote w:id="27">
    <w:p>
      <w:pPr>
        <w:pStyle w:val="FootnoteText"/>
      </w:pPr>
      <w:r>
        <w:rPr>
          <w:rStyle w:val="FootnoteRef"/>
        </w:rPr>
        <w:footnoteRef/>
      </w:r>
      <w:r>
        <w:t xml:space="preserve">For more on the comparative development of film and television editing techniques in the late 1920s and early 1930s, see</w:t>
      </w:r>
      <w:r>
        <w:t xml:space="preserve"> </w:t>
      </w:r>
      <w:r>
        <w:t xml:space="preserve">Erik Barnouw,</w:t>
      </w:r>
      <w:r>
        <w:t xml:space="preserve"> </w:t>
      </w:r>
      <w:r>
        <w:rPr>
          <w:i/>
        </w:rPr>
        <w:t xml:space="preserve">Tube of Plenty: The Evolution of American Television</w:t>
      </w:r>
      <w:r>
        <w:t xml:space="preserve">, 2 edition., (New York: Oxford University Press, 1990)</w:t>
      </w:r>
      <w:r>
        <w:t xml:space="preserve">, especially chapters two and three.</w:t>
      </w:r>
    </w:p>
  </w:footnote>
  <w:footnote w:id="28">
    <w:p>
      <w:pPr>
        <w:pStyle w:val="FootnoteText"/>
      </w:pPr>
      <w:r>
        <w:rPr>
          <w:rStyle w:val="FootnoteRef"/>
        </w:rPr>
        <w:footnoteRef/>
      </w:r>
      <w:r>
        <w:t xml:space="preserve">Gernsback’s first editorial for this magazine emphasized a slightly different point: that the large corporations—who by necessity had to be depended on to produce these incredibly complex and expensive technologies—were actually stifling competition by</w:t>
      </w:r>
      <w:r>
        <w:t xml:space="preserve"> </w:t>
      </w:r>
      <w:r>
        <w:t xml:space="preserve">“</w:t>
      </w:r>
      <w:r>
        <w:t xml:space="preserve">jealously guarding whatever improvements are made, because these large firms naturally wish to come out with a complete set that can be sold ready-made to the public.</w:t>
      </w:r>
      <w:r>
        <w:t xml:space="preserve">”</w:t>
      </w:r>
      <w:r>
        <w:t xml:space="preserve"> </w:t>
      </w:r>
      <w:r>
        <w:t xml:space="preserve">Continuing his argument that communities of amateur tinkerers, openly sharing their results, were a necessary element in the development of new media, Gernsback continues:</w:t>
      </w:r>
    </w:p>
    <w:p>
      <w:pPr>
        <w:pStyle w:val="BlockQuote"/>
        <w:pStyle w:val="FootnoteText"/>
      </w:pPr>
      <w:r>
        <w:t xml:space="preserve">Everyone knows that, the more people who are working on an art, the more rapid the progress will be in the end. Many improvements in radio have been due to experimenters who started in a small way and, later on, became outstanding figures in radio. … The more experimenters and the more television fans who become interested in the art, the quicker it will advance and the sooner it will be put on the stable basis which it deserves.</w:t>
      </w:r>
    </w:p>
    <w:p>
      <w:pPr>
        <w:pStyle w:val="FootnoteText"/>
      </w:pPr>
      <w:r>
        <w:t xml:space="preserve">He saw</w:t>
      </w:r>
      <w:r>
        <w:t xml:space="preserve"> </w:t>
      </w:r>
      <w:r>
        <w:rPr>
          <w:i/>
        </w:rPr>
        <w:t xml:space="preserve">Television News</w:t>
      </w:r>
      <w:r>
        <w:t xml:space="preserve"> </w:t>
      </w:r>
      <w:r>
        <w:t xml:space="preserve">as providing an entry point for this community of amateur television experimenters that had yet to come into being:</w:t>
      </w:r>
      <w:r>
        <w:t xml:space="preserve"> </w:t>
      </w:r>
      <w:r>
        <w:t xml:space="preserve">“</w:t>
      </w:r>
      <w:r>
        <w:t xml:space="preserve">To this purpose I am dedicating this new publication, and the future will demonstrate the correctness of the assumption.</w:t>
      </w:r>
      <w:r>
        <w:t xml:space="preserve">”</w:t>
      </w:r>
    </w:p>
    <w:p>
      <w:pPr>
        <w:pStyle w:val="FootnoteText"/>
      </w:pPr>
      <w:r>
        <w:t xml:space="preserve">Hugo Gernsback, “The Television Art,”</w:t>
      </w:r>
      <w:r>
        <w:t xml:space="preserve"> </w:t>
      </w:r>
      <w:r>
        <w:rPr>
          <w:i/>
        </w:rPr>
        <w:t xml:space="preserve">Television News</w:t>
      </w:r>
      <w:r>
        <w:t xml:space="preserve">, 1, no. 1, (April 1931): 7</w:t>
      </w:r>
      <w:r>
        <w:t xml:space="preserve">.</w:t>
      </w:r>
    </w:p>
  </w:footnote>
</w:footnotes>
</file>

<file path=word/numbering.xml><?xml version="1.0" encoding="utf-8"?>
<w:numbering xmlns:w="http://schemas.openxmlformats.org/wordprocessingml/2006/main">
  <w:abstractNum w:abstractNumId="0">
    <w:nsid w:val="1e5230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3107_television_technique.html" TargetMode="External" /><Relationship Type="http://schemas.openxmlformats.org/officeDocument/2006/relationships/hyperlink" Id="rId26" Target="http://www.earlytelevision.org/fss_camera.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6" Target="http://www.earlytelevision.org/fss_camera.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