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4"/>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5"/>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6"/>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w:t>
      </w:r>
      <w:r>
        <w:rPr>
          <w:rStyle w:val="FootnoteRef"/>
        </w:rPr>
        <w:footnoteReference w:id="27"/>
      </w:r>
      <w:r>
        <w:t xml:space="preserve"> </w:t>
      </w:r>
      <w:r>
        <w:t xml:space="preserve">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8"/>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9"/>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30"/>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32"/>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5">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6">
    <w:p>
      <w:pPr>
        <w:pStyle w:val="FootnoteText"/>
      </w:pPr>
      <w:r>
        <w:rPr>
          <w:rStyle w:val="FootnoteRef"/>
        </w:rPr>
        <w:footnoteRef/>
      </w:r>
      <w:r>
        <w:t xml:space="preserve">Here, Gernsback begins to develop ideas inspired by Technocracy, a short-lived political movement in the United States that blossomed during the Depression with its plan to put engineers and skilled technologists in charge of the government. Technocracy was originally inspired by the writings of Thorstein Veblen, the American sociologist who advocated in</w:t>
      </w:r>
      <w:r>
        <w:t xml:space="preserve"> </w:t>
      </w:r>
      <w:r>
        <w:rPr>
          <w:i/>
        </w:rPr>
        <w:t xml:space="preserve">The Engineers and the Price System</w:t>
      </w:r>
      <w:r>
        <w:t xml:space="preserve"> </w:t>
      </w:r>
      <w:r>
        <w:t xml:space="preserve">(1921) for a more equitable form of price management through what he called a</w:t>
      </w:r>
      <w:r>
        <w:t xml:space="preserve"> </w:t>
      </w:r>
      <w:r>
        <w:t xml:space="preserve">“</w:t>
      </w:r>
      <w:r>
        <w:t xml:space="preserve">Soviet of Technicians.</w:t>
      </w:r>
      <w:r>
        <w:t xml:space="preserve">”</w:t>
      </w:r>
      <w:r>
        <w:t xml:space="preserve"> </w:t>
      </w:r>
      <w:r>
        <w:t xml:space="preserve">These engineers and technically educated managers would be able to govern more effectively the production and equal distribution of energy, goods, and quality of life than capitalist bureacrats or politicians. His ideas were picked up by Howard Scott, a leading figure in the movement who formed Technocracy Inc., an organization whose</w:t>
      </w:r>
      <w:r>
        <w:t xml:space="preserve"> </w:t>
      </w:r>
      <w:r>
        <w:t xml:space="preserve">“</w:t>
      </w:r>
      <w:r>
        <w:t xml:space="preserve">militaristic demeanor, its rigid hierarchial structure, its special insignia, its special salute, its grey uniforms, and its fleet of grey automobiles</w:t>
      </w:r>
      <w:r>
        <w:t xml:space="preserve">”</w:t>
      </w:r>
      <w:r>
        <w:t xml:space="preserve"> </w:t>
      </w:r>
      <w:r>
        <w:t xml:space="preserve">raised the eyebrows of more than a few observers during fascism’s rise across Europe.</w:t>
      </w:r>
    </w:p>
    <w:p>
      <w:pPr>
        <w:pStyle w:val="FootnoteText"/>
      </w:pPr>
      <w:r>
        <w:t xml:space="preserve">Howard P. Segal,</w:t>
      </w:r>
      <w:r>
        <w:t xml:space="preserve"> </w:t>
      </w:r>
      <w:r>
        <w:rPr>
          <w:i/>
        </w:rPr>
        <w:t xml:space="preserve">Technological Utopianism in American Culture</w:t>
      </w:r>
      <w:r>
        <w:t xml:space="preserve">, (Syracuse University Press, 2005)</w:t>
      </w:r>
      <w:r>
        <w:t xml:space="preserve">, 123.</w:t>
      </w:r>
    </w:p>
    <w:p>
      <w:pPr>
        <w:pStyle w:val="FootnoteText"/>
      </w:pPr>
      <w:r>
        <w:t xml:space="preserve">Harold Loeb, another leading proponent, headed up the rival Continental Committee on Technocracy and wrote the utopian roadmap</w:t>
      </w:r>
      <w:r>
        <w:t xml:space="preserve"> </w:t>
      </w:r>
      <w:r>
        <w:rPr>
          <w:i/>
        </w:rPr>
        <w:t xml:space="preserve">Life in a Technocracy: What it Might Be Like</w:t>
      </w:r>
      <w:r>
        <w:t xml:space="preserve"> </w:t>
      </w:r>
      <w:r>
        <w:t xml:space="preserve">(1933), a book that advocated a theory of value based on units of energy. For Howard Segal, Technocracy and other associated efforts to forge a better society through technology (e.g. the New Machine, the Technical Alliance, the Utopian Society of America) marked a shift in the 1920s and 30s in utopian thinking from the possible to the probable.</w:t>
      </w:r>
    </w:p>
    <w:p>
      <w:pPr>
        <w:pStyle w:val="FootnoteText"/>
      </w:pPr>
      <w:r>
        <w:t xml:space="preserve">Ibid.,</w:t>
      </w:r>
      <w:r>
        <w:t xml:space="preserve"> </w:t>
      </w:r>
      <w:r>
        <w:t xml:space="preserve">, 124-5.</w:t>
      </w:r>
    </w:p>
    <w:p>
      <w:pPr>
        <w:pStyle w:val="FootnoteText"/>
      </w:pPr>
      <w:r>
        <w:t xml:space="preserve">For more on the Technocracy movement, see</w:t>
      </w:r>
      <w:r>
        <w:t xml:space="preserve"> </w:t>
      </w:r>
      <w:r>
        <w:t xml:space="preserve">Daniel Bell, “Veblen and the Technocrats: On the Engineers and the Price System,” in</w:t>
      </w:r>
      <w:r>
        <w:t xml:space="preserve"> </w:t>
      </w:r>
      <w:r>
        <w:rPr>
          <w:i/>
        </w:rPr>
        <w:t xml:space="preserve">The Winding Passage: Sociological Essays and Journeys</w:t>
      </w:r>
      <w:r>
        <w:t xml:space="preserve">, (New Brunswick, N.J., U.S.A: Transaction Publishers, 1991)</w:t>
      </w:r>
      <w:r>
        <w:t xml:space="preserve"> </w:t>
      </w:r>
      <w:r>
        <w:t xml:space="preserve">[1963] and</w:t>
      </w:r>
      <w:r>
        <w:t xml:space="preserve"> </w:t>
      </w:r>
      <w:r>
        <w:t xml:space="preserve">William E Akin,</w:t>
      </w:r>
      <w:r>
        <w:t xml:space="preserve"> </w:t>
      </w:r>
      <w:r>
        <w:rPr>
          <w:i/>
        </w:rPr>
        <w:t xml:space="preserve">Technocracy and the American Dream: The Technocrat Movement, 1900-1941</w:t>
      </w:r>
      <w:r>
        <w:t xml:space="preserve">, (Berkeley: University of California Press, 1977)</w:t>
      </w:r>
      <w:r>
        <w:t xml:space="preserve">.</w:t>
      </w:r>
    </w:p>
  </w:footnote>
  <w:footnote w:id="27">
    <w:p>
      <w:pPr>
        <w:pStyle w:val="FootnoteText"/>
      </w:pPr>
      <w:r>
        <w:rPr>
          <w:rStyle w:val="FootnoteRef"/>
        </w:rPr>
        <w:footnoteRef/>
      </w:r>
      <w:r>
        <w:t xml:space="preserve">A short-lived Gernsback magazine,</w:t>
      </w:r>
      <w:r>
        <w:t xml:space="preserve"> </w:t>
      </w:r>
      <w:r>
        <w:rPr>
          <w:i/>
        </w:rPr>
        <w:t xml:space="preserve">Technocracy Review,</w:t>
      </w:r>
      <w:r>
        <w:t xml:space="preserve"> </w:t>
      </w:r>
      <w:r>
        <w:t xml:space="preserve">attempted to capitalize on the political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8">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Segal,</w:t>
      </w:r>
      <w:r>
        <w:t xml:space="preserve"> </w:t>
      </w:r>
      <w:r>
        <w:rPr>
          <w:i/>
        </w:rPr>
        <w:t xml:space="preserve">Technological Utopianism in American Culture</w:t>
      </w:r>
      <w:r>
        <w:t xml:space="preserve"/>
      </w:r>
      <w:r>
        <w:t xml:space="preserve">, 122.</w:t>
      </w:r>
    </w:p>
  </w:footnote>
  <w:footnote w:id="29">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30">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31"/>
                    <a:stretch>
                      <a:fillRect/>
                    </a:stretch>
                  </pic:blipFill>
                  <pic:spPr bwMode="auto">
                    <a:xfrm>
                      <a:off x="0" y="0"/>
                      <a:ext cx="7620000" cy="10464800"/>
                    </a:xfrm>
                    <a:prstGeom prst="rect">
                      <a:avLst/>
                    </a:prstGeom>
                    <a:noFill/>
                    <a:ln w="9525">
                      <a:noFill/>
                      <a:headEnd/>
                      <a:tailEnd/>
                    </a:ln>
                  </pic:spPr>
                </pic:pic>
              </a:graphicData>
            </a:graphic>
          </wp:inline>
        </w:drawing>
      </w:r>
      <w:r>
        <w:t xml:space="preserve"> </w:t>
      </w:r>
    </w:p>
  </w:footnote>
  <w:footnote w:id="32">
    <w:p>
      <w:pPr>
        <w:pStyle w:val="FootnoteText"/>
      </w:pPr>
      <w:r>
        <w:rPr>
          <w:rStyle w:val="FootnoteRef"/>
        </w:rPr>
        <w:footnoteRef/>
      </w:r>
      <w:r>
        <w:t xml:space="preserve">After the devastation of two world wars,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d6143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wonders_machine_age.html" TargetMode="External" /><Relationship Type="http://schemas.openxmlformats.org/officeDocument/2006/relationships/hyperlink" Id="rId23" Target="https://github.com/gwijthoff/perversity_of_things/blob/gh-pages/typeset_drafts/193107_wonders_machine_age.docx" TargetMode="External" /><Relationship Type="http://schemas.openxmlformats.org/officeDocument/2006/relationships/hyperlink" Id="rId22" Target="https://github.com/gwijthoff/perversity_of_things/blob/gh-pages/typeset_drafts/193107_wonders_machine_ag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
</cp:coreProperties>
</file>