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1F0" w:rsidRDefault="00C641F0" w:rsidP="00C641F0">
      <w:pPr>
        <w:autoSpaceDE w:val="0"/>
        <w:autoSpaceDN w:val="0"/>
        <w:adjustRightInd w:val="0"/>
        <w:spacing w:after="0" w:line="300" w:lineRule="auto"/>
        <w:rPr>
          <w:rFonts w:ascii="Verdana" w:hAnsi="Verdana" w:cs="Arial,Bold"/>
          <w:b/>
          <w:bCs/>
          <w:sz w:val="16"/>
          <w:szCs w:val="16"/>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A0" w:firstRow="1" w:lastRow="0" w:firstColumn="1" w:lastColumn="0" w:noHBand="0" w:noVBand="1"/>
      </w:tblPr>
      <w:tblGrid>
        <w:gridCol w:w="6588"/>
      </w:tblGrid>
      <w:tr w:rsidR="00C641F0" w:rsidTr="00C641F0">
        <w:tc>
          <w:tcPr>
            <w:tcW w:w="6588" w:type="dxa"/>
            <w:shd w:val="clear" w:color="auto" w:fill="F2F2F2" w:themeFill="background1" w:themeFillShade="F2"/>
            <w:tcMar>
              <w:top w:w="288" w:type="dxa"/>
              <w:left w:w="288" w:type="dxa"/>
              <w:bottom w:w="288" w:type="dxa"/>
              <w:right w:w="288" w:type="dxa"/>
            </w:tcMar>
          </w:tcPr>
          <w:p w:rsidR="00C641F0" w:rsidRDefault="00C641F0" w:rsidP="00C641F0">
            <w:pPr>
              <w:autoSpaceDE w:val="0"/>
              <w:autoSpaceDN w:val="0"/>
              <w:adjustRightInd w:val="0"/>
              <w:spacing w:line="300" w:lineRule="auto"/>
              <w:rPr>
                <w:rFonts w:ascii="Verdana" w:hAnsi="Verdana" w:cs="Arial,Bold"/>
                <w:b/>
                <w:bCs/>
                <w:sz w:val="16"/>
                <w:szCs w:val="16"/>
              </w:rPr>
            </w:pPr>
            <w:r w:rsidRPr="0027312E">
              <w:rPr>
                <w:rFonts w:ascii="Verdana" w:hAnsi="Verdana" w:cs="Arial,Bold"/>
                <w:b/>
                <w:bCs/>
                <w:sz w:val="16"/>
                <w:szCs w:val="16"/>
              </w:rPr>
              <w:t>Ambulation</w:t>
            </w:r>
          </w:p>
          <w:p w:rsidR="00C641F0" w:rsidRDefault="00C641F0" w:rsidP="00C641F0">
            <w:pPr>
              <w:autoSpaceDE w:val="0"/>
              <w:autoSpaceDN w:val="0"/>
              <w:adjustRightInd w:val="0"/>
              <w:spacing w:line="300" w:lineRule="auto"/>
              <w:rPr>
                <w:rFonts w:ascii="Verdana" w:hAnsi="Verdana" w:cs="Arial,Bold"/>
                <w:b/>
                <w:bCs/>
                <w:sz w:val="16"/>
                <w:szCs w:val="16"/>
              </w:rPr>
            </w:pPr>
          </w:p>
          <w:p w:rsidR="00C641F0" w:rsidRDefault="00C641F0" w:rsidP="00C641F0">
            <w:pPr>
              <w:autoSpaceDE w:val="0"/>
              <w:autoSpaceDN w:val="0"/>
              <w:adjustRightInd w:val="0"/>
              <w:spacing w:line="300" w:lineRule="auto"/>
              <w:rPr>
                <w:rFonts w:ascii="Verdana" w:hAnsi="Verdana" w:cs="Arial"/>
                <w:sz w:val="16"/>
                <w:szCs w:val="16"/>
              </w:rPr>
            </w:pPr>
            <w:bookmarkStart w:id="0" w:name="_Hlk485887392"/>
            <w:bookmarkStart w:id="1" w:name="_Hlk485887407"/>
            <w:r w:rsidRPr="0027312E">
              <w:rPr>
                <w:rFonts w:ascii="Verdana" w:hAnsi="Verdana" w:cs="Arial"/>
                <w:sz w:val="16"/>
                <w:szCs w:val="16"/>
              </w:rPr>
              <w:t>The items ‘</w:t>
            </w:r>
            <w:r w:rsidRPr="0027312E">
              <w:rPr>
                <w:rFonts w:ascii="Verdana" w:hAnsi="Verdana" w:cs="Arial,Bold"/>
                <w:b/>
                <w:bCs/>
                <w:sz w:val="16"/>
                <w:szCs w:val="16"/>
              </w:rPr>
              <w:t>mainly sit/lie</w:t>
            </w:r>
            <w:r w:rsidRPr="0027312E">
              <w:rPr>
                <w:rFonts w:ascii="Verdana" w:hAnsi="Verdana" w:cs="Arial"/>
                <w:sz w:val="16"/>
                <w:szCs w:val="16"/>
              </w:rPr>
              <w:t>,’ ‘</w:t>
            </w:r>
            <w:r w:rsidRPr="0027312E">
              <w:rPr>
                <w:rFonts w:ascii="Verdana" w:hAnsi="Verdana" w:cs="Arial,Bold"/>
                <w:b/>
                <w:bCs/>
                <w:sz w:val="16"/>
                <w:szCs w:val="16"/>
              </w:rPr>
              <w:t>mainly in bed</w:t>
            </w:r>
            <w:r w:rsidRPr="0027312E">
              <w:rPr>
                <w:rFonts w:ascii="Verdana" w:hAnsi="Verdana" w:cs="Arial"/>
                <w:sz w:val="16"/>
                <w:szCs w:val="16"/>
              </w:rPr>
              <w:t>,’ and ‘</w:t>
            </w:r>
            <w:r w:rsidRPr="0027312E">
              <w:rPr>
                <w:rFonts w:ascii="Verdana" w:hAnsi="Verdana" w:cs="Arial,Bold"/>
                <w:b/>
                <w:bCs/>
                <w:sz w:val="16"/>
                <w:szCs w:val="16"/>
              </w:rPr>
              <w:t xml:space="preserve">totally bed bound’ </w:t>
            </w:r>
            <w:bookmarkEnd w:id="0"/>
            <w:r w:rsidRPr="0027312E">
              <w:rPr>
                <w:rFonts w:ascii="Verdana" w:hAnsi="Verdana" w:cs="Arial"/>
                <w:sz w:val="16"/>
                <w:szCs w:val="16"/>
              </w:rPr>
              <w:t xml:space="preserve">are clearly </w:t>
            </w:r>
            <w:bookmarkEnd w:id="1"/>
            <w:r w:rsidRPr="0027312E">
              <w:rPr>
                <w:rFonts w:ascii="Verdana" w:hAnsi="Verdana" w:cs="Arial"/>
                <w:sz w:val="16"/>
                <w:szCs w:val="16"/>
              </w:rPr>
              <w:t xml:space="preserve">similar. The subtle differences are related to items in the self-care column. For example, ‘totally bed ‘bound’ at PPS 30% is due to either profound weakness or paralysis such that the patient not only can’t get out of bed but is also unable to </w:t>
            </w:r>
            <w:bookmarkStart w:id="2" w:name="_Hlk485887337"/>
            <w:r w:rsidRPr="0027312E">
              <w:rPr>
                <w:rFonts w:ascii="Verdana" w:hAnsi="Verdana" w:cs="Arial"/>
                <w:sz w:val="16"/>
                <w:szCs w:val="16"/>
              </w:rPr>
              <w:t xml:space="preserve">do any self-care. The difference between ‘sit/lie’ and ‘bed’ is proportionate to the amount of time the patient is </w:t>
            </w:r>
            <w:bookmarkEnd w:id="2"/>
            <w:r w:rsidRPr="0027312E">
              <w:rPr>
                <w:rFonts w:ascii="Verdana" w:hAnsi="Verdana" w:cs="Arial"/>
                <w:sz w:val="16"/>
                <w:szCs w:val="16"/>
              </w:rPr>
              <w:t>able to sit up vs need to lie down.</w:t>
            </w:r>
          </w:p>
          <w:p w:rsidR="00C641F0" w:rsidRDefault="00C641F0" w:rsidP="00C641F0">
            <w:pPr>
              <w:autoSpaceDE w:val="0"/>
              <w:autoSpaceDN w:val="0"/>
              <w:adjustRightInd w:val="0"/>
              <w:spacing w:line="300" w:lineRule="auto"/>
              <w:rPr>
                <w:rFonts w:ascii="Verdana" w:hAnsi="Verdana" w:cs="Arial"/>
                <w:sz w:val="16"/>
                <w:szCs w:val="16"/>
              </w:rPr>
            </w:pPr>
          </w:p>
          <w:p w:rsidR="00C641F0" w:rsidRDefault="00C641F0" w:rsidP="00C641F0">
            <w:pPr>
              <w:autoSpaceDE w:val="0"/>
              <w:autoSpaceDN w:val="0"/>
              <w:adjustRightInd w:val="0"/>
              <w:spacing w:line="300" w:lineRule="auto"/>
              <w:rPr>
                <w:rFonts w:ascii="Verdana" w:hAnsi="Verdana" w:cs="Arial"/>
                <w:sz w:val="16"/>
                <w:szCs w:val="16"/>
              </w:rPr>
            </w:pPr>
            <w:r w:rsidRPr="0027312E">
              <w:rPr>
                <w:rFonts w:ascii="Verdana" w:hAnsi="Verdana" w:cs="Arial"/>
                <w:sz w:val="16"/>
                <w:szCs w:val="16"/>
              </w:rPr>
              <w:t>‘</w:t>
            </w:r>
            <w:r w:rsidRPr="0027312E">
              <w:rPr>
                <w:rFonts w:ascii="Verdana" w:hAnsi="Verdana" w:cs="Arial,Bold"/>
                <w:b/>
                <w:bCs/>
                <w:sz w:val="16"/>
                <w:szCs w:val="16"/>
              </w:rPr>
              <w:t xml:space="preserve">Reduced ambulation’ </w:t>
            </w:r>
            <w:r w:rsidRPr="0027312E">
              <w:rPr>
                <w:rFonts w:ascii="Verdana" w:hAnsi="Verdana" w:cs="Arial"/>
                <w:sz w:val="16"/>
                <w:szCs w:val="16"/>
              </w:rPr>
              <w:t>is located at the PPS 70% and PPS 60% level. By using the adjacent column, the reduction of ambulation is tied to inability to carry out their normal job, work occupation or some hobbies or housework activities. The person is still able to walk and transfer on their own but at PPS 60% needs occasional assistance.</w:t>
            </w:r>
          </w:p>
          <w:p w:rsidR="00C641F0" w:rsidRDefault="00C641F0" w:rsidP="00C641F0">
            <w:pPr>
              <w:autoSpaceDE w:val="0"/>
              <w:autoSpaceDN w:val="0"/>
              <w:adjustRightInd w:val="0"/>
              <w:spacing w:line="300" w:lineRule="auto"/>
              <w:rPr>
                <w:rFonts w:ascii="Verdana" w:hAnsi="Verdana" w:cs="Arial,Bold"/>
                <w:b/>
                <w:bCs/>
                <w:sz w:val="16"/>
                <w:szCs w:val="16"/>
              </w:rPr>
            </w:pPr>
          </w:p>
        </w:tc>
      </w:tr>
    </w:tbl>
    <w:p w:rsidR="00C641F0" w:rsidRDefault="00C641F0" w:rsidP="00C641F0">
      <w:pPr>
        <w:autoSpaceDE w:val="0"/>
        <w:autoSpaceDN w:val="0"/>
        <w:adjustRightInd w:val="0"/>
        <w:spacing w:after="0" w:line="300" w:lineRule="auto"/>
        <w:rPr>
          <w:rFonts w:ascii="Verdana" w:hAnsi="Verdana" w:cs="Arial,Bold"/>
          <w:b/>
          <w:bCs/>
          <w:sz w:val="16"/>
          <w:szCs w:val="16"/>
        </w:rPr>
      </w:pPr>
    </w:p>
    <w:p w:rsidR="005947AB" w:rsidRDefault="00C641F0" w:rsidP="00C47771">
      <w:pPr>
        <w:autoSpaceDE w:val="0"/>
        <w:autoSpaceDN w:val="0"/>
        <w:adjustRightInd w:val="0"/>
        <w:spacing w:after="0" w:line="300" w:lineRule="auto"/>
        <w:rPr>
          <w:rFonts w:ascii="Verdana" w:hAnsi="Verdana" w:cs="Arial,Bold"/>
          <w:b/>
          <w:bCs/>
          <w:sz w:val="16"/>
          <w:szCs w:val="16"/>
        </w:rPr>
      </w:pPr>
      <w:r>
        <w:rPr>
          <w:rFonts w:ascii="Verdana" w:hAnsi="Verdana" w:cs="Arial,Bold"/>
          <w:b/>
          <w:bCs/>
          <w:sz w:val="16"/>
          <w:szCs w:val="16"/>
        </w:rPr>
        <w:tab/>
      </w:r>
      <w:bookmarkStart w:id="3" w:name="_GoBack"/>
      <w:bookmarkEnd w:id="3"/>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A0" w:firstRow="1" w:lastRow="0" w:firstColumn="1" w:lastColumn="0" w:noHBand="0" w:noVBand="1"/>
      </w:tblPr>
      <w:tblGrid>
        <w:gridCol w:w="6588"/>
      </w:tblGrid>
      <w:tr w:rsidR="00C47771" w:rsidTr="00C641F0">
        <w:tc>
          <w:tcPr>
            <w:tcW w:w="6588" w:type="dxa"/>
            <w:shd w:val="clear" w:color="auto" w:fill="F2F2F2" w:themeFill="background1" w:themeFillShade="F2"/>
            <w:tcMar>
              <w:top w:w="288" w:type="dxa"/>
              <w:left w:w="288" w:type="dxa"/>
              <w:bottom w:w="288" w:type="dxa"/>
              <w:right w:w="288" w:type="dxa"/>
            </w:tcMar>
          </w:tcPr>
          <w:p w:rsidR="00C47771" w:rsidRDefault="00C47771" w:rsidP="00C47771">
            <w:pPr>
              <w:autoSpaceDE w:val="0"/>
              <w:autoSpaceDN w:val="0"/>
              <w:adjustRightInd w:val="0"/>
              <w:spacing w:line="300" w:lineRule="auto"/>
              <w:rPr>
                <w:rFonts w:ascii="Verdana" w:hAnsi="Verdana" w:cs="Arial,Bold"/>
                <w:b/>
                <w:bCs/>
                <w:sz w:val="16"/>
                <w:szCs w:val="16"/>
              </w:rPr>
            </w:pPr>
            <w:bookmarkStart w:id="4" w:name="_Hlk482256698"/>
            <w:r w:rsidRPr="00C47771">
              <w:rPr>
                <w:rFonts w:ascii="Verdana" w:hAnsi="Verdana" w:cs="Arial,Bold"/>
                <w:b/>
                <w:bCs/>
                <w:sz w:val="16"/>
                <w:szCs w:val="16"/>
              </w:rPr>
              <w:t>Activity &amp; Extent of disease</w:t>
            </w:r>
          </w:p>
          <w:p w:rsidR="00C47771" w:rsidRDefault="00C47771" w:rsidP="00C47771">
            <w:pPr>
              <w:autoSpaceDE w:val="0"/>
              <w:autoSpaceDN w:val="0"/>
              <w:adjustRightInd w:val="0"/>
              <w:spacing w:line="300" w:lineRule="auto"/>
              <w:rPr>
                <w:rFonts w:ascii="Verdana" w:hAnsi="Verdana" w:cs="Arial,Bold"/>
                <w:b/>
                <w:bCs/>
                <w:sz w:val="16"/>
                <w:szCs w:val="16"/>
              </w:rPr>
            </w:pPr>
          </w:p>
          <w:p w:rsidR="00C47771" w:rsidRDefault="00C47771" w:rsidP="00C47771">
            <w:pPr>
              <w:autoSpaceDE w:val="0"/>
              <w:autoSpaceDN w:val="0"/>
              <w:adjustRightInd w:val="0"/>
              <w:spacing w:line="300" w:lineRule="auto"/>
              <w:rPr>
                <w:rFonts w:ascii="Verdana" w:hAnsi="Verdana" w:cs="Arial"/>
                <w:sz w:val="16"/>
                <w:szCs w:val="16"/>
              </w:rPr>
            </w:pPr>
            <w:r w:rsidRPr="00C47771">
              <w:rPr>
                <w:rFonts w:ascii="Verdana" w:hAnsi="Verdana" w:cs="Arial"/>
                <w:sz w:val="16"/>
                <w:szCs w:val="16"/>
              </w:rPr>
              <w:t>‘</w:t>
            </w:r>
            <w:r w:rsidRPr="00C47771">
              <w:rPr>
                <w:rFonts w:ascii="Verdana" w:hAnsi="Verdana" w:cs="Arial,Bold"/>
                <w:b/>
                <w:bCs/>
                <w:sz w:val="16"/>
                <w:szCs w:val="16"/>
              </w:rPr>
              <w:t>Some</w:t>
            </w:r>
            <w:r w:rsidRPr="00C47771">
              <w:rPr>
                <w:rFonts w:ascii="Verdana" w:hAnsi="Verdana" w:cs="Arial"/>
                <w:sz w:val="16"/>
                <w:szCs w:val="16"/>
              </w:rPr>
              <w:t>,’ ‘</w:t>
            </w:r>
            <w:r w:rsidRPr="00C47771">
              <w:rPr>
                <w:rFonts w:ascii="Verdana" w:hAnsi="Verdana" w:cs="Arial,Bold"/>
                <w:b/>
                <w:bCs/>
                <w:sz w:val="16"/>
                <w:szCs w:val="16"/>
              </w:rPr>
              <w:t>significant</w:t>
            </w:r>
            <w:r w:rsidRPr="00C47771">
              <w:rPr>
                <w:rFonts w:ascii="Verdana" w:hAnsi="Verdana" w:cs="Arial"/>
                <w:sz w:val="16"/>
                <w:szCs w:val="16"/>
              </w:rPr>
              <w:t>,’ and ‘</w:t>
            </w:r>
            <w:r w:rsidRPr="00C47771">
              <w:rPr>
                <w:rFonts w:ascii="Verdana" w:hAnsi="Verdana" w:cs="Arial,Bold"/>
                <w:b/>
                <w:bCs/>
                <w:sz w:val="16"/>
                <w:szCs w:val="16"/>
              </w:rPr>
              <w:t xml:space="preserve">extensive’ </w:t>
            </w:r>
            <w:r w:rsidRPr="00C47771">
              <w:rPr>
                <w:rFonts w:ascii="Verdana" w:hAnsi="Verdana" w:cs="Arial"/>
                <w:sz w:val="16"/>
                <w:szCs w:val="16"/>
              </w:rPr>
              <w:t>disease refer to physical and investigative evidence which shows degrees of progression. For example in breast cancer, a local recurrence would imply ‘some’ disease, one or two metastases in the lung or bone would imply ‘significant’ disease, whereas multiple metastases in lung, bone, liver, brain, hypercalcemia or other major complications would be ‘extensive’ disease. The extent may also refer to progression of disease despite active treatments. Using PPS in AIDS, ‘some’ may mean the shift from HIV to AIDS, ‘significant’ implies progression in physical decline, new or difficult symptoms and laboratory findings with low counts. ‘Extensive’ refers to one or more serious complications with or without continuation of active antiretrovirals, antibiotics, etc.</w:t>
            </w:r>
          </w:p>
          <w:p w:rsidR="00C47771" w:rsidRDefault="00C47771" w:rsidP="00C47771">
            <w:pPr>
              <w:autoSpaceDE w:val="0"/>
              <w:autoSpaceDN w:val="0"/>
              <w:adjustRightInd w:val="0"/>
              <w:spacing w:line="300" w:lineRule="auto"/>
              <w:rPr>
                <w:rFonts w:ascii="Verdana" w:hAnsi="Verdana" w:cs="Arial"/>
                <w:sz w:val="16"/>
                <w:szCs w:val="16"/>
              </w:rPr>
            </w:pPr>
          </w:p>
          <w:p w:rsidR="00C47771" w:rsidRDefault="00C47771" w:rsidP="00C47771">
            <w:pPr>
              <w:autoSpaceDE w:val="0"/>
              <w:autoSpaceDN w:val="0"/>
              <w:adjustRightInd w:val="0"/>
              <w:spacing w:line="300" w:lineRule="auto"/>
              <w:rPr>
                <w:rFonts w:ascii="Verdana" w:hAnsi="Verdana" w:cs="Arial"/>
                <w:sz w:val="16"/>
                <w:szCs w:val="16"/>
              </w:rPr>
            </w:pPr>
            <w:r w:rsidRPr="00C47771">
              <w:rPr>
                <w:rFonts w:ascii="Verdana" w:hAnsi="Verdana" w:cs="Arial"/>
                <w:sz w:val="16"/>
                <w:szCs w:val="16"/>
              </w:rPr>
              <w:t>The above extent of disease is also judged in context with the ability to maintain one’s work and hobbies or activities. Decline in activity may mean the person still plays golf but reduces from playing 18 holes to 9 holes, or just a par 3, or to backyard putting. People who enjoy walking will gradually reduce the distance covered, although they may continue trying, sometimes even close to death, e.g., trying to walk the halls.</w:t>
            </w:r>
          </w:p>
          <w:p w:rsidR="00C47771" w:rsidRDefault="00C47771" w:rsidP="00C47771">
            <w:pPr>
              <w:autoSpaceDE w:val="0"/>
              <w:autoSpaceDN w:val="0"/>
              <w:adjustRightInd w:val="0"/>
              <w:spacing w:line="300" w:lineRule="auto"/>
              <w:rPr>
                <w:rFonts w:ascii="Verdana" w:hAnsi="Verdana" w:cs="Arial,Bold"/>
                <w:b/>
                <w:bCs/>
                <w:sz w:val="16"/>
                <w:szCs w:val="16"/>
              </w:rPr>
            </w:pPr>
          </w:p>
        </w:tc>
      </w:tr>
    </w:tbl>
    <w:p w:rsidR="00C47771" w:rsidRDefault="00C47771" w:rsidP="00C47771">
      <w:pPr>
        <w:autoSpaceDE w:val="0"/>
        <w:autoSpaceDN w:val="0"/>
        <w:adjustRightInd w:val="0"/>
        <w:spacing w:after="0" w:line="300" w:lineRule="auto"/>
        <w:rPr>
          <w:rFonts w:ascii="Verdana" w:hAnsi="Verdana" w:cs="Arial,Bold"/>
          <w:b/>
          <w:bCs/>
          <w:sz w:val="16"/>
          <w:szCs w:val="16"/>
        </w:rPr>
      </w:pPr>
      <w:bookmarkStart w:id="5" w:name="_Hlk482256827"/>
      <w:bookmarkEnd w:id="4"/>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A0" w:firstRow="1" w:lastRow="0" w:firstColumn="1" w:lastColumn="0" w:noHBand="0" w:noVBand="1"/>
      </w:tblPr>
      <w:tblGrid>
        <w:gridCol w:w="6588"/>
      </w:tblGrid>
      <w:tr w:rsidR="00C47771" w:rsidTr="00C641F0">
        <w:tc>
          <w:tcPr>
            <w:tcW w:w="6588" w:type="dxa"/>
            <w:shd w:val="clear" w:color="auto" w:fill="F2F2F2" w:themeFill="background1" w:themeFillShade="F2"/>
            <w:tcMar>
              <w:top w:w="288" w:type="dxa"/>
              <w:left w:w="288" w:type="dxa"/>
              <w:bottom w:w="288" w:type="dxa"/>
              <w:right w:w="288" w:type="dxa"/>
            </w:tcMar>
          </w:tcPr>
          <w:p w:rsidR="00C47771" w:rsidRDefault="00C47771" w:rsidP="00C47771">
            <w:pPr>
              <w:autoSpaceDE w:val="0"/>
              <w:autoSpaceDN w:val="0"/>
              <w:adjustRightInd w:val="0"/>
              <w:spacing w:line="300" w:lineRule="auto"/>
              <w:rPr>
                <w:rFonts w:ascii="Verdana" w:hAnsi="Verdana" w:cs="Arial,Bold"/>
                <w:b/>
                <w:bCs/>
                <w:sz w:val="16"/>
                <w:szCs w:val="16"/>
              </w:rPr>
            </w:pPr>
            <w:r w:rsidRPr="00C47771">
              <w:rPr>
                <w:rFonts w:ascii="Verdana" w:hAnsi="Verdana" w:cs="Arial,Bold"/>
                <w:b/>
                <w:bCs/>
                <w:sz w:val="16"/>
                <w:szCs w:val="16"/>
              </w:rPr>
              <w:t>Self-Care</w:t>
            </w:r>
          </w:p>
          <w:p w:rsidR="00C47771" w:rsidRDefault="00C47771" w:rsidP="00C47771">
            <w:pPr>
              <w:autoSpaceDE w:val="0"/>
              <w:autoSpaceDN w:val="0"/>
              <w:adjustRightInd w:val="0"/>
              <w:spacing w:line="300" w:lineRule="auto"/>
              <w:rPr>
                <w:rFonts w:ascii="Verdana" w:hAnsi="Verdana" w:cs="Arial,Bold"/>
                <w:b/>
                <w:bCs/>
                <w:sz w:val="16"/>
                <w:szCs w:val="16"/>
              </w:rPr>
            </w:pPr>
          </w:p>
          <w:p w:rsidR="00C47771" w:rsidRDefault="00C47771" w:rsidP="00C47771">
            <w:pPr>
              <w:autoSpaceDE w:val="0"/>
              <w:autoSpaceDN w:val="0"/>
              <w:adjustRightInd w:val="0"/>
              <w:spacing w:line="300" w:lineRule="auto"/>
              <w:rPr>
                <w:rFonts w:ascii="Verdana" w:hAnsi="Verdana" w:cs="Arial"/>
                <w:sz w:val="16"/>
                <w:szCs w:val="16"/>
              </w:rPr>
            </w:pPr>
            <w:r w:rsidRPr="00C47771">
              <w:rPr>
                <w:rFonts w:ascii="Verdana" w:hAnsi="Verdana" w:cs="Arial"/>
                <w:sz w:val="16"/>
                <w:szCs w:val="16"/>
              </w:rPr>
              <w:t>‘</w:t>
            </w:r>
            <w:r w:rsidRPr="00C47771">
              <w:rPr>
                <w:rFonts w:ascii="Verdana" w:hAnsi="Verdana" w:cs="Arial,Bold"/>
                <w:b/>
                <w:bCs/>
                <w:sz w:val="16"/>
                <w:szCs w:val="16"/>
              </w:rPr>
              <w:t xml:space="preserve">Occasional assistance’ </w:t>
            </w:r>
            <w:r w:rsidRPr="00C47771">
              <w:rPr>
                <w:rFonts w:ascii="Verdana" w:hAnsi="Verdana" w:cs="Arial"/>
                <w:sz w:val="16"/>
                <w:szCs w:val="16"/>
              </w:rPr>
              <w:t xml:space="preserve">means that most of the time patients are able </w:t>
            </w:r>
            <w:r w:rsidRPr="00C47771">
              <w:rPr>
                <w:rFonts w:ascii="Verdana" w:hAnsi="Verdana" w:cs="Arial"/>
                <w:sz w:val="16"/>
                <w:szCs w:val="16"/>
              </w:rPr>
              <w:lastRenderedPageBreak/>
              <w:t>to transfer out of bed, walk, wash, toilet and eat by their own means, but that on occasion (perhaps once daily or a few times weekly) the</w:t>
            </w:r>
            <w:r>
              <w:rPr>
                <w:rFonts w:ascii="Verdana" w:hAnsi="Verdana" w:cs="Arial"/>
                <w:sz w:val="16"/>
                <w:szCs w:val="16"/>
              </w:rPr>
              <w:t>y require minor assistance.</w:t>
            </w:r>
          </w:p>
          <w:p w:rsidR="00C47771" w:rsidRDefault="00C47771" w:rsidP="00C47771">
            <w:pPr>
              <w:autoSpaceDE w:val="0"/>
              <w:autoSpaceDN w:val="0"/>
              <w:adjustRightInd w:val="0"/>
              <w:spacing w:line="300" w:lineRule="auto"/>
              <w:rPr>
                <w:rFonts w:ascii="Verdana" w:hAnsi="Verdana" w:cs="Arial"/>
                <w:sz w:val="16"/>
                <w:szCs w:val="16"/>
              </w:rPr>
            </w:pPr>
          </w:p>
          <w:p w:rsidR="00C47771" w:rsidRDefault="00C47771" w:rsidP="00C47771">
            <w:pPr>
              <w:autoSpaceDE w:val="0"/>
              <w:autoSpaceDN w:val="0"/>
              <w:adjustRightInd w:val="0"/>
              <w:spacing w:line="300" w:lineRule="auto"/>
              <w:rPr>
                <w:rFonts w:ascii="Verdana" w:hAnsi="Verdana" w:cs="Arial"/>
                <w:sz w:val="16"/>
                <w:szCs w:val="16"/>
              </w:rPr>
            </w:pPr>
            <w:r w:rsidRPr="00C47771">
              <w:rPr>
                <w:rFonts w:ascii="Verdana" w:hAnsi="Verdana" w:cs="Arial"/>
                <w:sz w:val="16"/>
                <w:szCs w:val="16"/>
              </w:rPr>
              <w:t>‘</w:t>
            </w:r>
            <w:r w:rsidRPr="00C47771">
              <w:rPr>
                <w:rFonts w:ascii="Verdana" w:hAnsi="Verdana" w:cs="Arial,Bold"/>
                <w:b/>
                <w:bCs/>
                <w:sz w:val="16"/>
                <w:szCs w:val="16"/>
              </w:rPr>
              <w:t xml:space="preserve">Considerable assistance’ </w:t>
            </w:r>
            <w:r w:rsidRPr="00C47771">
              <w:rPr>
                <w:rFonts w:ascii="Verdana" w:hAnsi="Verdana" w:cs="Arial"/>
                <w:sz w:val="16"/>
                <w:szCs w:val="16"/>
              </w:rPr>
              <w:t>means that regularly every day the patient needs help, usually by one person, to do some of the activities noted above. For example, the person needs help to get to the bathroom but is then able to brush his or her teeth or wash at least hands and face. Food will often need to be cut into edible sizes but the patient is then able to</w:t>
            </w:r>
            <w:r>
              <w:rPr>
                <w:rFonts w:ascii="Verdana" w:hAnsi="Verdana" w:cs="Arial"/>
                <w:sz w:val="16"/>
                <w:szCs w:val="16"/>
              </w:rPr>
              <w:t xml:space="preserve"> eat of his or her own accord.</w:t>
            </w:r>
          </w:p>
          <w:p w:rsidR="00C47771" w:rsidRDefault="00C47771" w:rsidP="00C47771">
            <w:pPr>
              <w:autoSpaceDE w:val="0"/>
              <w:autoSpaceDN w:val="0"/>
              <w:adjustRightInd w:val="0"/>
              <w:spacing w:line="300" w:lineRule="auto"/>
              <w:rPr>
                <w:rFonts w:ascii="Verdana" w:hAnsi="Verdana" w:cs="Arial"/>
                <w:sz w:val="16"/>
                <w:szCs w:val="16"/>
              </w:rPr>
            </w:pPr>
          </w:p>
          <w:p w:rsidR="00C47771" w:rsidRDefault="00C47771" w:rsidP="00C47771">
            <w:pPr>
              <w:autoSpaceDE w:val="0"/>
              <w:autoSpaceDN w:val="0"/>
              <w:adjustRightInd w:val="0"/>
              <w:spacing w:line="300" w:lineRule="auto"/>
              <w:rPr>
                <w:rFonts w:ascii="Verdana" w:hAnsi="Verdana" w:cs="Arial"/>
                <w:sz w:val="16"/>
                <w:szCs w:val="16"/>
              </w:rPr>
            </w:pPr>
            <w:r w:rsidRPr="00C47771">
              <w:rPr>
                <w:rFonts w:ascii="Verdana" w:hAnsi="Verdana" w:cs="Arial"/>
                <w:sz w:val="16"/>
                <w:szCs w:val="16"/>
              </w:rPr>
              <w:t>‘</w:t>
            </w:r>
            <w:r w:rsidRPr="00C47771">
              <w:rPr>
                <w:rFonts w:ascii="Verdana" w:hAnsi="Verdana" w:cs="Arial,Bold"/>
                <w:b/>
                <w:bCs/>
                <w:sz w:val="16"/>
                <w:szCs w:val="16"/>
              </w:rPr>
              <w:t xml:space="preserve">Mainly assistance’ </w:t>
            </w:r>
            <w:r w:rsidRPr="00C47771">
              <w:rPr>
                <w:rFonts w:ascii="Verdana" w:hAnsi="Verdana" w:cs="Arial"/>
                <w:sz w:val="16"/>
                <w:szCs w:val="16"/>
              </w:rPr>
              <w:t>is a further extension of ‘considerable.’ Using the above example, the patient now needs help getting up but also needs assistance washing his face and shaving, but can usually eat with minimal or no help. This may fluctuate accord</w:t>
            </w:r>
            <w:r>
              <w:rPr>
                <w:rFonts w:ascii="Verdana" w:hAnsi="Verdana" w:cs="Arial"/>
                <w:sz w:val="16"/>
                <w:szCs w:val="16"/>
              </w:rPr>
              <w:t>ing to fatigue during the day.</w:t>
            </w:r>
          </w:p>
          <w:p w:rsidR="00C47771" w:rsidRDefault="00C47771" w:rsidP="00C47771">
            <w:pPr>
              <w:autoSpaceDE w:val="0"/>
              <w:autoSpaceDN w:val="0"/>
              <w:adjustRightInd w:val="0"/>
              <w:spacing w:line="300" w:lineRule="auto"/>
              <w:rPr>
                <w:rFonts w:ascii="Verdana" w:hAnsi="Verdana" w:cs="Arial"/>
                <w:sz w:val="16"/>
                <w:szCs w:val="16"/>
              </w:rPr>
            </w:pPr>
          </w:p>
          <w:p w:rsidR="00C47771" w:rsidRDefault="00C47771" w:rsidP="00C47771">
            <w:pPr>
              <w:autoSpaceDE w:val="0"/>
              <w:autoSpaceDN w:val="0"/>
              <w:adjustRightInd w:val="0"/>
              <w:spacing w:line="300" w:lineRule="auto"/>
              <w:rPr>
                <w:rFonts w:ascii="Verdana" w:hAnsi="Verdana" w:cs="Arial"/>
                <w:sz w:val="16"/>
                <w:szCs w:val="16"/>
              </w:rPr>
            </w:pPr>
            <w:r w:rsidRPr="00C47771">
              <w:rPr>
                <w:rFonts w:ascii="Verdana" w:hAnsi="Verdana" w:cs="Arial"/>
                <w:sz w:val="16"/>
                <w:szCs w:val="16"/>
              </w:rPr>
              <w:t>‘</w:t>
            </w:r>
            <w:r w:rsidRPr="00C47771">
              <w:rPr>
                <w:rFonts w:ascii="Verdana" w:hAnsi="Verdana" w:cs="Arial,Bold"/>
                <w:b/>
                <w:bCs/>
                <w:sz w:val="16"/>
                <w:szCs w:val="16"/>
              </w:rPr>
              <w:t xml:space="preserve">Total care’ </w:t>
            </w:r>
            <w:r w:rsidRPr="00C47771">
              <w:rPr>
                <w:rFonts w:ascii="Verdana" w:hAnsi="Verdana" w:cs="Arial"/>
                <w:sz w:val="16"/>
                <w:szCs w:val="16"/>
              </w:rPr>
              <w:t>means that the patient is completely unable to eat without help, toilet or do any self-care. Depending on the clinical situation, the patient may or may not be able to chew and swallow food once prepared and fed to him or her.</w:t>
            </w:r>
          </w:p>
          <w:p w:rsidR="00C47771" w:rsidRDefault="00C47771" w:rsidP="00C47771">
            <w:pPr>
              <w:autoSpaceDE w:val="0"/>
              <w:autoSpaceDN w:val="0"/>
              <w:adjustRightInd w:val="0"/>
              <w:spacing w:line="300" w:lineRule="auto"/>
              <w:rPr>
                <w:rFonts w:ascii="Verdana" w:hAnsi="Verdana" w:cs="Arial,Bold"/>
                <w:b/>
                <w:bCs/>
                <w:sz w:val="16"/>
                <w:szCs w:val="16"/>
              </w:rPr>
            </w:pPr>
          </w:p>
        </w:tc>
      </w:tr>
      <w:bookmarkEnd w:id="5"/>
    </w:tbl>
    <w:p w:rsidR="005947AB" w:rsidRDefault="005947AB" w:rsidP="005947AB">
      <w:pPr>
        <w:rPr>
          <w:rFonts w:ascii="Verdana" w:hAnsi="Verdana" w:cs="Arial,Bold"/>
          <w:b/>
          <w:bCs/>
          <w:sz w:val="16"/>
          <w:szCs w:val="16"/>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A0" w:firstRow="1" w:lastRow="0" w:firstColumn="1" w:lastColumn="0" w:noHBand="0" w:noVBand="1"/>
      </w:tblPr>
      <w:tblGrid>
        <w:gridCol w:w="6588"/>
      </w:tblGrid>
      <w:tr w:rsidR="00C47771" w:rsidTr="00C641F0">
        <w:tc>
          <w:tcPr>
            <w:tcW w:w="6588" w:type="dxa"/>
            <w:shd w:val="clear" w:color="auto" w:fill="F2F2F2" w:themeFill="background1" w:themeFillShade="F2"/>
            <w:tcMar>
              <w:top w:w="288" w:type="dxa"/>
              <w:left w:w="288" w:type="dxa"/>
              <w:bottom w:w="288" w:type="dxa"/>
              <w:right w:w="288" w:type="dxa"/>
            </w:tcMar>
          </w:tcPr>
          <w:p w:rsidR="00E40115" w:rsidRDefault="00E40115" w:rsidP="00E40115">
            <w:pPr>
              <w:autoSpaceDE w:val="0"/>
              <w:autoSpaceDN w:val="0"/>
              <w:adjustRightInd w:val="0"/>
              <w:spacing w:line="300" w:lineRule="auto"/>
              <w:rPr>
                <w:rFonts w:ascii="Verdana" w:hAnsi="Verdana" w:cs="Arial,Bold"/>
                <w:b/>
                <w:bCs/>
                <w:sz w:val="16"/>
                <w:szCs w:val="16"/>
              </w:rPr>
            </w:pPr>
            <w:r>
              <w:rPr>
                <w:rFonts w:ascii="Verdana" w:hAnsi="Verdana" w:cs="Arial,Bold"/>
                <w:b/>
                <w:bCs/>
                <w:sz w:val="16"/>
                <w:szCs w:val="16"/>
              </w:rPr>
              <w:t>Intake</w:t>
            </w:r>
          </w:p>
          <w:p w:rsidR="00E40115" w:rsidRDefault="00E40115" w:rsidP="00E40115">
            <w:pPr>
              <w:autoSpaceDE w:val="0"/>
              <w:autoSpaceDN w:val="0"/>
              <w:adjustRightInd w:val="0"/>
              <w:spacing w:line="300" w:lineRule="auto"/>
              <w:rPr>
                <w:rFonts w:ascii="Verdana" w:hAnsi="Verdana" w:cs="Arial,Bold"/>
                <w:b/>
                <w:bCs/>
                <w:sz w:val="16"/>
                <w:szCs w:val="16"/>
              </w:rPr>
            </w:pPr>
          </w:p>
          <w:p w:rsidR="00E40115" w:rsidRDefault="00E40115" w:rsidP="00E40115">
            <w:pPr>
              <w:autoSpaceDE w:val="0"/>
              <w:autoSpaceDN w:val="0"/>
              <w:adjustRightInd w:val="0"/>
              <w:spacing w:line="300" w:lineRule="auto"/>
              <w:rPr>
                <w:rFonts w:ascii="Verdana" w:hAnsi="Verdana" w:cs="Arial,Bold"/>
                <w:b/>
                <w:bCs/>
                <w:sz w:val="16"/>
                <w:szCs w:val="16"/>
              </w:rPr>
            </w:pPr>
            <w:r w:rsidRPr="00C47771">
              <w:rPr>
                <w:rFonts w:ascii="Verdana" w:hAnsi="Verdana" w:cs="Arial"/>
                <w:sz w:val="16"/>
                <w:szCs w:val="16"/>
              </w:rPr>
              <w:t>Changes in intake are quite obvious with ‘</w:t>
            </w:r>
            <w:r w:rsidRPr="00C47771">
              <w:rPr>
                <w:rFonts w:ascii="Verdana" w:hAnsi="Verdana" w:cs="Arial,Bold"/>
                <w:b/>
                <w:bCs/>
                <w:sz w:val="16"/>
                <w:szCs w:val="16"/>
              </w:rPr>
              <w:t>normal intake</w:t>
            </w:r>
            <w:r w:rsidRPr="00C47771">
              <w:rPr>
                <w:rFonts w:ascii="Verdana" w:hAnsi="Verdana" w:cs="Arial"/>
                <w:sz w:val="16"/>
                <w:szCs w:val="16"/>
              </w:rPr>
              <w:t>’ referring to the person’s usual eating habits while healthy. ‘</w:t>
            </w:r>
            <w:r w:rsidRPr="00C47771">
              <w:rPr>
                <w:rFonts w:ascii="Verdana" w:hAnsi="Verdana" w:cs="Arial,Bold"/>
                <w:b/>
                <w:bCs/>
                <w:sz w:val="16"/>
                <w:szCs w:val="16"/>
              </w:rPr>
              <w:t xml:space="preserve">Reduced’ </w:t>
            </w:r>
            <w:r w:rsidRPr="00C47771">
              <w:rPr>
                <w:rFonts w:ascii="Verdana" w:hAnsi="Verdana" w:cs="Arial"/>
                <w:sz w:val="16"/>
                <w:szCs w:val="16"/>
              </w:rPr>
              <w:t>means any reduction from that and is highly variable according to the unique individual circumstances. ‘</w:t>
            </w:r>
            <w:r w:rsidRPr="00C47771">
              <w:rPr>
                <w:rFonts w:ascii="Verdana" w:hAnsi="Verdana" w:cs="Arial,Bold"/>
                <w:b/>
                <w:bCs/>
                <w:sz w:val="16"/>
                <w:szCs w:val="16"/>
              </w:rPr>
              <w:t>Minimal</w:t>
            </w:r>
            <w:r w:rsidRPr="00C47771">
              <w:rPr>
                <w:rFonts w:ascii="Verdana" w:hAnsi="Verdana" w:cs="Arial"/>
                <w:sz w:val="16"/>
                <w:szCs w:val="16"/>
              </w:rPr>
              <w:t>’ refers to very small amounts, usually pureed or liquid, which are well below nutritional sustenance.</w:t>
            </w:r>
          </w:p>
          <w:p w:rsidR="00C47771" w:rsidRDefault="00C47771" w:rsidP="00041797">
            <w:pPr>
              <w:autoSpaceDE w:val="0"/>
              <w:autoSpaceDN w:val="0"/>
              <w:adjustRightInd w:val="0"/>
              <w:spacing w:line="300" w:lineRule="auto"/>
              <w:rPr>
                <w:rFonts w:ascii="Verdana" w:hAnsi="Verdana" w:cs="Arial,Bold"/>
                <w:b/>
                <w:bCs/>
                <w:sz w:val="16"/>
                <w:szCs w:val="16"/>
              </w:rPr>
            </w:pPr>
          </w:p>
        </w:tc>
      </w:tr>
    </w:tbl>
    <w:p w:rsidR="00C47771" w:rsidRDefault="00C47771" w:rsidP="00C47771">
      <w:pPr>
        <w:autoSpaceDE w:val="0"/>
        <w:autoSpaceDN w:val="0"/>
        <w:adjustRightInd w:val="0"/>
        <w:spacing w:after="0" w:line="300" w:lineRule="auto"/>
        <w:rPr>
          <w:rFonts w:ascii="Verdana" w:hAnsi="Verdana" w:cs="Arial,Bold"/>
          <w:b/>
          <w:bCs/>
          <w:sz w:val="16"/>
          <w:szCs w:val="16"/>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A0" w:firstRow="1" w:lastRow="0" w:firstColumn="1" w:lastColumn="0" w:noHBand="0" w:noVBand="1"/>
      </w:tblPr>
      <w:tblGrid>
        <w:gridCol w:w="6588"/>
      </w:tblGrid>
      <w:tr w:rsidR="00C47771" w:rsidTr="00C641F0">
        <w:tc>
          <w:tcPr>
            <w:tcW w:w="6588" w:type="dxa"/>
            <w:shd w:val="clear" w:color="auto" w:fill="F2F2F2" w:themeFill="background1" w:themeFillShade="F2"/>
            <w:tcMar>
              <w:top w:w="288" w:type="dxa"/>
              <w:left w:w="288" w:type="dxa"/>
              <w:bottom w:w="288" w:type="dxa"/>
              <w:right w:w="288" w:type="dxa"/>
            </w:tcMar>
          </w:tcPr>
          <w:p w:rsidR="00E40115" w:rsidRDefault="00E40115" w:rsidP="00E40115">
            <w:pPr>
              <w:autoSpaceDE w:val="0"/>
              <w:autoSpaceDN w:val="0"/>
              <w:adjustRightInd w:val="0"/>
              <w:spacing w:line="300" w:lineRule="auto"/>
              <w:rPr>
                <w:rFonts w:ascii="Verdana" w:hAnsi="Verdana" w:cs="Arial,Bold"/>
                <w:b/>
                <w:bCs/>
                <w:sz w:val="16"/>
                <w:szCs w:val="16"/>
              </w:rPr>
            </w:pPr>
            <w:r>
              <w:rPr>
                <w:rFonts w:ascii="Verdana" w:hAnsi="Verdana" w:cs="Arial,Bold"/>
                <w:b/>
                <w:bCs/>
                <w:sz w:val="16"/>
                <w:szCs w:val="16"/>
              </w:rPr>
              <w:t>Conscious Level</w:t>
            </w:r>
          </w:p>
          <w:p w:rsidR="00E40115" w:rsidRDefault="00E40115" w:rsidP="00E40115">
            <w:pPr>
              <w:autoSpaceDE w:val="0"/>
              <w:autoSpaceDN w:val="0"/>
              <w:adjustRightInd w:val="0"/>
              <w:spacing w:line="300" w:lineRule="auto"/>
              <w:rPr>
                <w:rFonts w:ascii="Verdana" w:hAnsi="Verdana" w:cs="Arial,Bold"/>
                <w:b/>
                <w:bCs/>
                <w:sz w:val="16"/>
                <w:szCs w:val="16"/>
              </w:rPr>
            </w:pPr>
          </w:p>
          <w:p w:rsidR="00E40115" w:rsidRPr="00C47771" w:rsidRDefault="00E40115" w:rsidP="00E40115">
            <w:pPr>
              <w:autoSpaceDE w:val="0"/>
              <w:autoSpaceDN w:val="0"/>
              <w:adjustRightInd w:val="0"/>
              <w:spacing w:line="300" w:lineRule="auto"/>
              <w:rPr>
                <w:rFonts w:ascii="Verdana" w:hAnsi="Verdana" w:cs="Arial,Bold"/>
                <w:b/>
                <w:bCs/>
                <w:sz w:val="16"/>
                <w:szCs w:val="16"/>
              </w:rPr>
            </w:pPr>
            <w:r w:rsidRPr="00C47771">
              <w:rPr>
                <w:rFonts w:ascii="Verdana" w:hAnsi="Verdana" w:cs="Arial"/>
                <w:sz w:val="16"/>
                <w:szCs w:val="16"/>
              </w:rPr>
              <w:t>‘</w:t>
            </w:r>
            <w:r w:rsidRPr="00C47771">
              <w:rPr>
                <w:rFonts w:ascii="Verdana" w:hAnsi="Verdana" w:cs="Arial,Bold"/>
                <w:b/>
                <w:bCs/>
                <w:sz w:val="16"/>
                <w:szCs w:val="16"/>
              </w:rPr>
              <w:t>Full consciousness</w:t>
            </w:r>
            <w:r w:rsidRPr="00C47771">
              <w:rPr>
                <w:rFonts w:ascii="Verdana" w:hAnsi="Verdana" w:cs="Arial"/>
                <w:sz w:val="16"/>
                <w:szCs w:val="16"/>
              </w:rPr>
              <w:t>’ implies full alertness and orientation with good cognitive abilities in various domains of thinking, memory, etc. ‘</w:t>
            </w:r>
            <w:r w:rsidRPr="00C47771">
              <w:rPr>
                <w:rFonts w:ascii="Verdana" w:hAnsi="Verdana" w:cs="Arial,Bold"/>
                <w:b/>
                <w:bCs/>
                <w:sz w:val="16"/>
                <w:szCs w:val="16"/>
              </w:rPr>
              <w:t>Confusion</w:t>
            </w:r>
            <w:r w:rsidRPr="00C47771">
              <w:rPr>
                <w:rFonts w:ascii="Verdana" w:hAnsi="Verdana" w:cs="Arial"/>
                <w:sz w:val="16"/>
                <w:szCs w:val="16"/>
              </w:rPr>
              <w:t>’ is used to denote presence of either delirium or dementia and is a reduced level of consciousness. It may be mild, moderate or severe with multiple possible etiologies. ‘</w:t>
            </w:r>
            <w:r w:rsidRPr="00C47771">
              <w:rPr>
                <w:rFonts w:ascii="Verdana" w:hAnsi="Verdana" w:cs="Arial,Bold"/>
                <w:b/>
                <w:bCs/>
                <w:sz w:val="16"/>
                <w:szCs w:val="16"/>
              </w:rPr>
              <w:t>Drowsiness</w:t>
            </w:r>
            <w:r w:rsidRPr="00C47771">
              <w:rPr>
                <w:rFonts w:ascii="Verdana" w:hAnsi="Verdana" w:cs="Arial"/>
                <w:sz w:val="16"/>
                <w:szCs w:val="16"/>
              </w:rPr>
              <w:t xml:space="preserve">’ implies </w:t>
            </w:r>
            <w:proofErr w:type="gramStart"/>
            <w:r w:rsidRPr="00C47771">
              <w:rPr>
                <w:rFonts w:ascii="Verdana" w:hAnsi="Verdana" w:cs="Arial"/>
                <w:sz w:val="16"/>
                <w:szCs w:val="16"/>
              </w:rPr>
              <w:t>either fatigue</w:t>
            </w:r>
            <w:proofErr w:type="gramEnd"/>
            <w:r w:rsidRPr="00C47771">
              <w:rPr>
                <w:rFonts w:ascii="Verdana" w:hAnsi="Verdana" w:cs="Arial"/>
                <w:sz w:val="16"/>
                <w:szCs w:val="16"/>
              </w:rPr>
              <w:t>, drug side effects, delirium or closeness to death and is sometimes included in the term stupor. ‘</w:t>
            </w:r>
            <w:r w:rsidRPr="00C47771">
              <w:rPr>
                <w:rFonts w:ascii="Verdana" w:hAnsi="Verdana" w:cs="Arial,Bold"/>
                <w:b/>
                <w:bCs/>
                <w:sz w:val="16"/>
                <w:szCs w:val="16"/>
              </w:rPr>
              <w:t>Coma</w:t>
            </w:r>
            <w:r w:rsidRPr="00C47771">
              <w:rPr>
                <w:rFonts w:ascii="Verdana" w:hAnsi="Verdana" w:cs="Arial"/>
                <w:sz w:val="16"/>
                <w:szCs w:val="16"/>
              </w:rPr>
              <w:t>’ in this context is the absence of response to verbal or physical stimuli; some reflexes may or may not remain. The depth of coma may fluctu</w:t>
            </w:r>
            <w:r>
              <w:rPr>
                <w:rFonts w:ascii="Verdana" w:hAnsi="Verdana" w:cs="Arial"/>
                <w:sz w:val="16"/>
                <w:szCs w:val="16"/>
              </w:rPr>
              <w:t>ate throughout a 24 hour period</w:t>
            </w:r>
          </w:p>
          <w:p w:rsidR="00C47771" w:rsidRDefault="00C47771" w:rsidP="00041797">
            <w:pPr>
              <w:autoSpaceDE w:val="0"/>
              <w:autoSpaceDN w:val="0"/>
              <w:adjustRightInd w:val="0"/>
              <w:spacing w:line="300" w:lineRule="auto"/>
              <w:rPr>
                <w:rFonts w:ascii="Verdana" w:hAnsi="Verdana" w:cs="Arial,Bold"/>
                <w:b/>
                <w:bCs/>
                <w:sz w:val="16"/>
                <w:szCs w:val="16"/>
              </w:rPr>
            </w:pPr>
          </w:p>
        </w:tc>
      </w:tr>
    </w:tbl>
    <w:p w:rsidR="00C47771" w:rsidRDefault="00C47771" w:rsidP="00E40115">
      <w:pPr>
        <w:autoSpaceDE w:val="0"/>
        <w:autoSpaceDN w:val="0"/>
        <w:adjustRightInd w:val="0"/>
        <w:spacing w:after="0" w:line="300" w:lineRule="auto"/>
        <w:rPr>
          <w:rFonts w:ascii="Verdana" w:hAnsi="Verdana" w:cs="Arial,Bold"/>
          <w:b/>
          <w:bCs/>
          <w:sz w:val="16"/>
          <w:szCs w:val="16"/>
        </w:rPr>
      </w:pPr>
    </w:p>
    <w:sectPr w:rsidR="00C47771" w:rsidSect="00E40115">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354" w:rsidRDefault="00063354" w:rsidP="0027312E">
      <w:pPr>
        <w:spacing w:after="0" w:line="240" w:lineRule="auto"/>
      </w:pPr>
      <w:r>
        <w:separator/>
      </w:r>
    </w:p>
  </w:endnote>
  <w:endnote w:type="continuationSeparator" w:id="0">
    <w:p w:rsidR="00063354" w:rsidRDefault="00063354" w:rsidP="00273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354" w:rsidRDefault="00063354" w:rsidP="0027312E">
      <w:pPr>
        <w:spacing w:after="0" w:line="240" w:lineRule="auto"/>
      </w:pPr>
      <w:r>
        <w:separator/>
      </w:r>
    </w:p>
  </w:footnote>
  <w:footnote w:type="continuationSeparator" w:id="0">
    <w:p w:rsidR="00063354" w:rsidRDefault="00063354" w:rsidP="002731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73058"/>
    <w:multiLevelType w:val="hybridMultilevel"/>
    <w:tmpl w:val="B256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4B3F7C"/>
    <w:multiLevelType w:val="hybridMultilevel"/>
    <w:tmpl w:val="546E72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12E"/>
    <w:rsid w:val="00063354"/>
    <w:rsid w:val="0027312E"/>
    <w:rsid w:val="00290C75"/>
    <w:rsid w:val="003A7A8C"/>
    <w:rsid w:val="003C2873"/>
    <w:rsid w:val="005947AB"/>
    <w:rsid w:val="00694676"/>
    <w:rsid w:val="00955B0B"/>
    <w:rsid w:val="00B15A59"/>
    <w:rsid w:val="00B21F49"/>
    <w:rsid w:val="00C47771"/>
    <w:rsid w:val="00C641F0"/>
    <w:rsid w:val="00CC14AE"/>
    <w:rsid w:val="00CF0C38"/>
    <w:rsid w:val="00E40115"/>
    <w:rsid w:val="00F80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reqtable1">
    <w:name w:val="req_table_1"/>
    <w:basedOn w:val="TableNormal"/>
    <w:uiPriority w:val="99"/>
    <w:rsid w:val="00B21F49"/>
    <w:pPr>
      <w:spacing w:after="0" w:line="240" w:lineRule="auto"/>
    </w:pPr>
    <w:rPr>
      <w:rFonts w:ascii="Arial" w:hAnsi="Arial"/>
      <w:color w:val="0D0D0D" w:themeColor="text1" w:themeTint="F2"/>
      <w:sz w:val="16"/>
    </w:rPr>
    <w:tblPr>
      <w:tblStyleRowBandSize w:val="1"/>
      <w:tblInd w:w="0" w:type="dxa"/>
      <w:tblBorders>
        <w:insideH w:val="single" w:sz="4" w:space="0" w:color="BFBFBF" w:themeColor="background1" w:themeShade="BF"/>
      </w:tblBorders>
      <w:tblCellMar>
        <w:top w:w="0" w:type="dxa"/>
        <w:left w:w="108" w:type="dxa"/>
        <w:bottom w:w="0" w:type="dxa"/>
        <w:right w:w="108" w:type="dxa"/>
      </w:tblCellMar>
    </w:tblPr>
    <w:tcPr>
      <w:vAlign w:val="center"/>
    </w:tcPr>
    <w:tblStylePr w:type="firstRow">
      <w:rPr>
        <w:b/>
      </w:rPr>
      <w:tblPr/>
      <w:tcPr>
        <w:tcBorders>
          <w:top w:val="nil"/>
          <w:left w:val="nil"/>
          <w:bottom w:val="single" w:sz="12" w:space="0" w:color="7F7F7F" w:themeColor="text1" w:themeTint="80"/>
          <w:right w:val="nil"/>
          <w:insideH w:val="nil"/>
          <w:insideV w:val="nil"/>
          <w:tl2br w:val="nil"/>
          <w:tr2bl w:val="nil"/>
        </w:tcBorders>
      </w:tcPr>
    </w:tblStylePr>
    <w:tblStylePr w:type="lastRow">
      <w:rPr>
        <w:i w:val="0"/>
      </w:rPr>
    </w:tblStylePr>
  </w:style>
  <w:style w:type="paragraph" w:styleId="ListParagraph">
    <w:name w:val="List Paragraph"/>
    <w:basedOn w:val="Normal"/>
    <w:uiPriority w:val="34"/>
    <w:qFormat/>
    <w:rsid w:val="0027312E"/>
    <w:pPr>
      <w:ind w:left="720"/>
      <w:contextualSpacing/>
    </w:pPr>
  </w:style>
  <w:style w:type="paragraph" w:styleId="Header">
    <w:name w:val="header"/>
    <w:basedOn w:val="Normal"/>
    <w:link w:val="HeaderChar"/>
    <w:uiPriority w:val="99"/>
    <w:unhideWhenUsed/>
    <w:rsid w:val="00273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12E"/>
  </w:style>
  <w:style w:type="paragraph" w:styleId="Footer">
    <w:name w:val="footer"/>
    <w:basedOn w:val="Normal"/>
    <w:link w:val="FooterChar"/>
    <w:uiPriority w:val="99"/>
    <w:unhideWhenUsed/>
    <w:rsid w:val="00273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12E"/>
  </w:style>
  <w:style w:type="character" w:styleId="Hyperlink">
    <w:name w:val="Hyperlink"/>
    <w:basedOn w:val="DefaultParagraphFont"/>
    <w:uiPriority w:val="99"/>
    <w:unhideWhenUsed/>
    <w:rsid w:val="00B15A59"/>
    <w:rPr>
      <w:color w:val="0000FF" w:themeColor="hyperlink"/>
      <w:u w:val="single"/>
    </w:rPr>
  </w:style>
  <w:style w:type="table" w:styleId="TableGrid">
    <w:name w:val="Table Grid"/>
    <w:basedOn w:val="TableNormal"/>
    <w:uiPriority w:val="59"/>
    <w:rsid w:val="00C477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reqtable1">
    <w:name w:val="req_table_1"/>
    <w:basedOn w:val="TableNormal"/>
    <w:uiPriority w:val="99"/>
    <w:rsid w:val="00B21F49"/>
    <w:pPr>
      <w:spacing w:after="0" w:line="240" w:lineRule="auto"/>
    </w:pPr>
    <w:rPr>
      <w:rFonts w:ascii="Arial" w:hAnsi="Arial"/>
      <w:color w:val="0D0D0D" w:themeColor="text1" w:themeTint="F2"/>
      <w:sz w:val="16"/>
    </w:rPr>
    <w:tblPr>
      <w:tblStyleRowBandSize w:val="1"/>
      <w:tblInd w:w="0" w:type="dxa"/>
      <w:tblBorders>
        <w:insideH w:val="single" w:sz="4" w:space="0" w:color="BFBFBF" w:themeColor="background1" w:themeShade="BF"/>
      </w:tblBorders>
      <w:tblCellMar>
        <w:top w:w="0" w:type="dxa"/>
        <w:left w:w="108" w:type="dxa"/>
        <w:bottom w:w="0" w:type="dxa"/>
        <w:right w:w="108" w:type="dxa"/>
      </w:tblCellMar>
    </w:tblPr>
    <w:tcPr>
      <w:vAlign w:val="center"/>
    </w:tcPr>
    <w:tblStylePr w:type="firstRow">
      <w:rPr>
        <w:b/>
      </w:rPr>
      <w:tblPr/>
      <w:tcPr>
        <w:tcBorders>
          <w:top w:val="nil"/>
          <w:left w:val="nil"/>
          <w:bottom w:val="single" w:sz="12" w:space="0" w:color="7F7F7F" w:themeColor="text1" w:themeTint="80"/>
          <w:right w:val="nil"/>
          <w:insideH w:val="nil"/>
          <w:insideV w:val="nil"/>
          <w:tl2br w:val="nil"/>
          <w:tr2bl w:val="nil"/>
        </w:tcBorders>
      </w:tcPr>
    </w:tblStylePr>
    <w:tblStylePr w:type="lastRow">
      <w:rPr>
        <w:i w:val="0"/>
      </w:rPr>
    </w:tblStylePr>
  </w:style>
  <w:style w:type="paragraph" w:styleId="ListParagraph">
    <w:name w:val="List Paragraph"/>
    <w:basedOn w:val="Normal"/>
    <w:uiPriority w:val="34"/>
    <w:qFormat/>
    <w:rsid w:val="0027312E"/>
    <w:pPr>
      <w:ind w:left="720"/>
      <w:contextualSpacing/>
    </w:pPr>
  </w:style>
  <w:style w:type="paragraph" w:styleId="Header">
    <w:name w:val="header"/>
    <w:basedOn w:val="Normal"/>
    <w:link w:val="HeaderChar"/>
    <w:uiPriority w:val="99"/>
    <w:unhideWhenUsed/>
    <w:rsid w:val="00273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12E"/>
  </w:style>
  <w:style w:type="paragraph" w:styleId="Footer">
    <w:name w:val="footer"/>
    <w:basedOn w:val="Normal"/>
    <w:link w:val="FooterChar"/>
    <w:uiPriority w:val="99"/>
    <w:unhideWhenUsed/>
    <w:rsid w:val="00273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12E"/>
  </w:style>
  <w:style w:type="character" w:styleId="Hyperlink">
    <w:name w:val="Hyperlink"/>
    <w:basedOn w:val="DefaultParagraphFont"/>
    <w:uiPriority w:val="99"/>
    <w:unhideWhenUsed/>
    <w:rsid w:val="00B15A59"/>
    <w:rPr>
      <w:color w:val="0000FF" w:themeColor="hyperlink"/>
      <w:u w:val="single"/>
    </w:rPr>
  </w:style>
  <w:style w:type="table" w:styleId="TableGrid">
    <w:name w:val="Table Grid"/>
    <w:basedOn w:val="TableNormal"/>
    <w:uiPriority w:val="59"/>
    <w:rsid w:val="00C477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Wellmed Medical Management</Company>
  <LinksUpToDate>false</LinksUpToDate>
  <CharactersWithSpaces>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Martens</dc:creator>
  <cp:lastModifiedBy>Tim Martens</cp:lastModifiedBy>
  <cp:revision>2</cp:revision>
  <dcterms:created xsi:type="dcterms:W3CDTF">2017-06-22T14:37:00Z</dcterms:created>
  <dcterms:modified xsi:type="dcterms:W3CDTF">2017-06-22T14:37:00Z</dcterms:modified>
</cp:coreProperties>
</file>