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1: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完成 主㓰面，8 個控制格，包括landscape and portrait </w:t>
        <w:br/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(05/23)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--------------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剛開機時，不能使用的按鈕用textColor=0x5fffffff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2: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完成 子㓰面（用多Fragments 的設計； 在activity layout 下加&lt;fragment tag with fragment class name; refer to api guides fragments; also use date / time picker dialog with set title to start and end</w:t>
        <w:br/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(05/27)-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每天2個</w:t>
        <w:br/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3: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完成intentService 送控制及接回報，車狀態及警示</w:t>
        <w:br/>
        <w:t xml:space="preserve">（05/28）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4: </w:t>
      </w: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完成asyncTask to send registration and show progress circle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2"/>
          <w:shd w:fill="auto" w:val="clear"/>
        </w:rPr>
        <w:t xml:space="preserve">（05/29）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