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42DE6" w14:textId="6E4FBDE6" w:rsidR="00E33EDD" w:rsidRDefault="00E33EDD" w:rsidP="00E33EDD">
      <w:pPr>
        <w:pStyle w:val="Kop4"/>
      </w:pPr>
      <w:r>
        <w:t xml:space="preserve">Annoteren met </w:t>
      </w:r>
      <w:r w:rsidR="001B3521">
        <w:t>IMOW</w:t>
      </w:r>
      <w:r w:rsidR="00761438">
        <w:t>-objecten</w:t>
      </w:r>
    </w:p>
    <w:p w14:paraId="1E318DC6" w14:textId="49940205" w:rsidR="00E33EDD" w:rsidRDefault="0081093A" w:rsidP="00E33EDD">
      <w:r w:rsidRPr="0081093A">
        <w:t>STOP en IMOW maken het mogelijk om een Tekstdeel met een Locatie te verbinden middels de verwijzing Locatieaanduiding.</w:t>
      </w:r>
      <w:r w:rsidR="00E33EDD">
        <w:t>Een computer weet dan dat beide bij elkaar horen</w:t>
      </w:r>
      <w:r w:rsidR="006F10A2">
        <w:t>,</w:t>
      </w:r>
      <w:r w:rsidR="00E33EDD">
        <w:t xml:space="preserve"> maar kan geen verdere betekenis aan die relatie geven en kan </w:t>
      </w:r>
      <w:r w:rsidR="00E20D56">
        <w:t>de Locatie</w:t>
      </w:r>
      <w:r w:rsidR="00E33EDD">
        <w:t xml:space="preserve"> ook niet voor een mens betekenisvol op een kaart weergeven.</w:t>
      </w:r>
    </w:p>
    <w:p w14:paraId="6E18A7C3" w14:textId="2A310E36" w:rsidR="00E33EDD" w:rsidRDefault="00E33EDD" w:rsidP="00E33EDD">
      <w:r>
        <w:t>Dat kan wel met het in paragraaf</w:t>
      </w:r>
      <w:r w:rsidR="00BC60AB">
        <w:t xml:space="preserve"> </w:t>
      </w:r>
      <w:r w:rsidR="00555EE4">
        <w:fldChar w:fldCharType="begin"/>
      </w:r>
      <w:r w:rsidR="00555EE4">
        <w:instrText xml:space="preserve"> REF _Ref_06204c55ea793f8ef4245c20eade8b18_20 \w \h </w:instrText>
      </w:r>
      <w:r w:rsidR="00555EE4">
        <w:fldChar w:fldCharType="separate"/>
      </w:r>
      <w:r w:rsidR="00B337F7">
        <w:t>A3.4</w:t>
      </w:r>
      <w:r w:rsidR="00555EE4">
        <w:fldChar w:fldCharType="end"/>
      </w:r>
      <w:r w:rsidR="00555EE4">
        <w:t xml:space="preserve"> </w:t>
      </w:r>
      <w:r>
        <w:t xml:space="preserve">beschreven mechanisme annoteren: </w:t>
      </w:r>
      <w:r w:rsidRPr="00F62F31">
        <w:t xml:space="preserve">het toevoegen van gegevens aan (onderdelen van) besluiten en regelingen die </w:t>
      </w:r>
      <w:r w:rsidR="00A1421D">
        <w:t xml:space="preserve">die besluiten en regelingen </w:t>
      </w:r>
      <w:r w:rsidRPr="00F62F31">
        <w:t>machineleesbaar maken</w:t>
      </w:r>
      <w:r>
        <w:t xml:space="preserve">. Annoteren zorgt er voor dat het besluit of de regeling gestructureerd bevraagbaar is </w:t>
      </w:r>
      <w:r w:rsidRPr="00F62F31">
        <w:t>en</w:t>
      </w:r>
      <w:r>
        <w:t xml:space="preserve"> </w:t>
      </w:r>
      <w:r w:rsidRPr="00F62F31">
        <w:t xml:space="preserve">dat </w:t>
      </w:r>
      <w:r w:rsidR="00CC7915">
        <w:t>locaties</w:t>
      </w:r>
      <w:r>
        <w:t xml:space="preserve"> en andere </w:t>
      </w:r>
      <w:r w:rsidRPr="00F62F31">
        <w:t xml:space="preserve">gegevens op een kaart weergegeven worden. </w:t>
      </w:r>
      <w:r>
        <w:t xml:space="preserve">Voor het annoteren van </w:t>
      </w:r>
      <w:r w:rsidR="006A616C">
        <w:t>omgevingsdocument</w:t>
      </w:r>
      <w:r w:rsidR="001D4F3D">
        <w:t>en</w:t>
      </w:r>
      <w:r>
        <w:t xml:space="preserve"> gebruikt TPOD de IMOW-objecten.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