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D6DC" w14:textId="54573A94" w:rsidR="00B27342" w:rsidRDefault="00B27342" w:rsidP="00B27342">
      <w:pPr>
        <w:pStyle w:val="Kop4"/>
      </w:pPr>
      <w:r>
        <w:t>Het aanleverproces</w:t>
      </w:r>
    </w:p>
    <w:p w14:paraId="4674AAA9" w14:textId="316CEF18" w:rsidR="00B27342" w:rsidRDefault="002D6C51" w:rsidP="00B27342">
      <w:r>
        <w:rPr>
          <w:noProof/>
        </w:rPr>
        <w:drawing>
          <wp:anchor distT="0" distB="0" distL="114300" distR="114300" simplePos="0" relativeHeight="251658244" behindDoc="0" locked="0" layoutInCell="1" allowOverlap="1" wp14:anchorId="4E9C3A57" wp14:editId="2542E84F">
            <wp:simplePos x="0" y="0"/>
            <wp:positionH relativeFrom="margin">
              <wp:align>center</wp:align>
            </wp:positionH>
            <wp:positionV relativeFrom="paragraph">
              <wp:posOffset>1757045</wp:posOffset>
            </wp:positionV>
            <wp:extent cx="5401310" cy="1572895"/>
            <wp:effectExtent l="0" t="0" r="8890" b="8255"/>
            <wp:wrapTopAndBottom/>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1572895"/>
                    </a:xfrm>
                    <a:prstGeom prst="rect">
                      <a:avLst/>
                    </a:prstGeom>
                    <a:noFill/>
                  </pic:spPr>
                </pic:pic>
              </a:graphicData>
            </a:graphic>
          </wp:anchor>
        </w:drawing>
      </w:r>
      <w:r w:rsidR="00B27342">
        <w:t>Het bevoegd gezag levert via het digitale kanaal het digitale besluit aan via het bronhouderskoppelvlak. Het digitale besluit bestaat uit een generiek formeel deel met daarin de artikelen en informatieobjecten en een Omgevingswetdeel met specifieke objecten vanuit dit domein.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IMOW-objecten worden gedistribueerd naar DSO-LV ten behoeve van het Omgevingsloket.</w:t>
      </w:r>
    </w:p>
    <w:p w14:paraId="04C3EF3D" w14:textId="5BA0586B" w:rsidR="00B27342" w:rsidRDefault="00B27342" w:rsidP="00B27342">
      <w:r>
        <w:t xml:space="preserve"> </w:t>
      </w:r>
    </w:p>
    <w:p w14:paraId="6BBDA277" w14:textId="6883FDDB" w:rsidR="00B27342" w:rsidRDefault="00B27342" w:rsidP="002D6C51">
      <w:pPr>
        <w:pStyle w:val="Figuurbijschrift"/>
      </w:pPr>
      <w:r>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5" Type="http://schemas.openxmlformats.org/officeDocument/2006/relationships/image" Target="media/image_cac699c19d6747e5ad5605fd5915bbb9.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