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8786A" w14:textId="589B2267" w:rsidR="00E33EDD" w:rsidRDefault="00E33EDD">
      <w:pPr>
        <w:pStyle w:val="Kop3"/>
      </w:pPr>
      <w:r>
        <w:t>Meet- en rekenbepalingen</w:t>
      </w:r>
    </w:p>
    <w:p w14:paraId="77BBE2FE" w14:textId="72F4D2CC" w:rsidR="004317DA" w:rsidRPr="006A616C" w:rsidRDefault="004317DA" w:rsidP="00E028BB">
      <w:r>
        <w:t xml:space="preserve">Het gebruik van meet- en rekenbepalingen is niet van toepassing op </w:t>
      </w:r>
      <w:fldSimple w:instr=" DOCVARIABLE ID01+ ">
        <w:r w:rsidR="00B337F7">
          <w:t>het programma</w:t>
        </w:r>
      </w:fldSimple>
      <w:r w:rsidR="0028332A">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