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A470" w14:textId="780C0B76" w:rsidR="00581854" w:rsidRDefault="00581854" w:rsidP="004E1DAD">
      <w:pPr>
        <w:pStyle w:val="Kop5"/>
      </w:pPr>
      <w:r>
        <w:t>Toelichting op de toepassing</w:t>
      </w:r>
    </w:p>
    <w:p w14:paraId="00E05CD2" w14:textId="77777777" w:rsidR="00581854" w:rsidRDefault="00581854" w:rsidP="00581854">
      <w:r>
        <w:t>De Omgevingswet verplicht ertoe om bepaalde gebieden en landschappen aan te wijzen. Het gaat dan om Natura 2000-gebieden, gebieden behorend tot het natuurnetwerk Nederland, nationale parken, bijzondere nationale en provinciale natuurgebieden en bijzondere provinciale landschappen. Doelen van die aanwijzingen zijn het behoud of herstel van dier- en plantensoorten,</w:t>
      </w:r>
    </w:p>
    <w:p w14:paraId="3A5588C8" w14:textId="77777777" w:rsidR="00581854" w:rsidRDefault="00581854" w:rsidP="00581854">
      <w:r>
        <w:t xml:space="preserve">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w:t>
      </w:r>
      <w:r>
        <w:lastRenderedPageBreak/>
        <w:t>andere gebieden zal, ter bescherming van de natuur, beleid geformuleerd worden en regels gesteld worden. Dat doen in ieder geval Rijk en provincie, maar ook gemeenten zullen in omgevingsvisie en omgevingsplan beleid en regels over natuur opnemen.</w:t>
      </w:r>
    </w:p>
    <w:p w14:paraId="7E6D25BD" w14:textId="77777777" w:rsidR="00581854" w:rsidRDefault="00581854" w:rsidP="00581854">
      <w:r>
        <w:t>Om de geometrische begrenzing van Natuur te kunnen vastleggen en de verschillende gebieden van dit type op een kaartbeeld weer te geven is het noodzakelijk om de annotatie Natuur te gebruiken. Op voorhand is niet te zeggen hoeveel en welke gebieden van het Gebiedsaanwijzingtype Natuur in de verschillende omgevingsdocumenten begrensd zullen worden, het is mogelijk dat het er veel verschillende zullen zijn. Er is geen symboliek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gesloten waardelijst. Iedere groep heeft een eigen symboliek. Door te werken met het IMOW-object Natuur met het attribuut groep en de juiste waarde van de waardelijst Natuurgroep kunnen de werkingsgebieden van alle gebieden van het Gebiedsaanwijzingtype Natuur in een (interactieve) viewer worden weergegeven op een kaart. Het is dan mogelijk om een integraal beeld van de locaties van alle gebieden van het Gebiedsaanwijzingtype Natuur weer te geven, maar ook om de locaties van alle gebieden van het Gebiedsaanwijzingtype Natuur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