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8C5" w14:textId="6CD73464" w:rsidR="003B6849" w:rsidRPr="008B7738" w:rsidRDefault="003B6849" w:rsidP="003B6849">
      <w:pPr>
        <w:pStyle w:val="Kop3"/>
      </w:pPr>
      <w:bookmarkStart w:id="184" w:name="_Ref_9bfa001873a869575d339f22cb7e061e_23"/>
      <w:r w:rsidRPr="008B7738">
        <w:t>Muteren en consolideren</w:t>
      </w:r>
      <w:bookmarkEnd w:id="184"/>
    </w:p>
    <w:p w14:paraId="5565B71C" w14:textId="0BC75F80" w:rsidR="003B6849" w:rsidRDefault="003B6849" w:rsidP="003B6849">
      <w:r>
        <w:t xml:space="preserve">In dit toepassingsprofiel zijn vooral de specificaties voor de geconsolideerde </w:t>
      </w:r>
      <w:r w:rsidR="00E2099E">
        <w:t>Regeling</w:t>
      </w:r>
      <w:r>
        <w:t xml:space="preserve">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beschreven. Er zullen echter ook vaak besluiten tot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genomen worden. Hoe wijzigingsbesluiten er voor de bekendmaking en consolidatie uit moeten zien en hoe ze moeten worden aangeleverd, is beschreven in de STOP-documentatie. Hoe het wijzigen van IMOW-objecten in </w:t>
      </w:r>
      <w:r w:rsidR="00DA1EFB">
        <w:t xml:space="preserve">zijn </w:t>
      </w:r>
      <w:r>
        <w:t>werk gaat is in het document 'IMOW Muteren – in de keten bevoegd gezag – LVBB – DSO-LV'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