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81D8C5" w14:textId="6CD73464" w:rsidR="003B6849" w:rsidRPr="008B7738" w:rsidRDefault="003B6849" w:rsidP="003B6849">
      <w:pPr>
        <w:pStyle w:val="Kop3"/>
      </w:pPr>
      <w:bookmarkStart w:id="184" w:name="_Ref_9bfa001873a869575d339f22cb7e061e_23"/>
      <w:r w:rsidRPr="008B7738">
        <w:t>Muteren en consolideren</w:t>
      </w:r>
      <w:bookmarkEnd w:id="184"/>
    </w:p>
    <w:p w14:paraId="5565B71C" w14:textId="0BC75F80" w:rsidR="003B6849" w:rsidRDefault="003B6849" w:rsidP="003B6849">
      <w:r>
        <w:t xml:space="preserve">In dit toepassingsprofiel zijn vooral de specificaties voor de geconsolideerde </w:t>
      </w:r>
      <w:r w:rsidR="00E2099E">
        <w:t>Regeling</w:t>
      </w:r>
      <w:r>
        <w:t xml:space="preserve"> van </w:t>
      </w:r>
      <w:fldSimple w:instr=" DOCVARIABLE ID01+ ">
        <w:r w:rsidR="00B337F7">
          <w:t>het programma</w:t>
        </w:r>
      </w:fldSimple>
      <w:r>
        <w:t xml:space="preserve"> beschreven. Er zullen echter ook vaak besluiten tot wijziging van </w:t>
      </w:r>
      <w:fldSimple w:instr=" DOCVARIABLE ID01+ ">
        <w:r w:rsidR="00B337F7">
          <w:t>het programma</w:t>
        </w:r>
      </w:fldSimple>
      <w:r>
        <w:t xml:space="preserve"> genomen worden. Hoe wijzigingsbesluiten er voor de bekendmaking en consolidatie uit moeten zien en hoe ze moeten worden aangeleverd, is beschreven in de STOP-documentatie. Hoe het wijzigen van IMOW-objecten in </w:t>
      </w:r>
      <w:r w:rsidR="00DA1EFB">
        <w:t xml:space="preserve">zijn </w:t>
      </w:r>
      <w:r>
        <w:t>werk gaat is in het document 'IMOW Muteren – in de keten bevoegd gezag – LVBB – DSO-LV'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