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CE0" w14:textId="6F8DF5BD" w:rsidR="00E33EDD" w:rsidRPr="00F62F31" w:rsidRDefault="00B82BAF" w:rsidP="00E33EDD">
      <w:pPr>
        <w:pStyle w:val="Kop4"/>
      </w:pPr>
      <w:bookmarkStart w:id="97" w:name="_Ref_ede6bc72a6c0637c494c31cf296af632_12"/>
      <w:r>
        <w:t>Beleid</w:t>
      </w:r>
      <w:r w:rsidRPr="00F62F31">
        <w:t xml:space="preserve"> </w:t>
      </w:r>
      <w:r w:rsidR="00E33EDD" w:rsidRPr="00F62F31">
        <w:t xml:space="preserve">en onderwerpen </w:t>
      </w:r>
      <w:r w:rsidR="00E33EDD" w:rsidRPr="00F62F31">
        <w:fldChar w:fldCharType="begin"/>
      </w:r>
      <w:r w:rsidR="00E33EDD" w:rsidRPr="00F62F31">
        <w:instrText xml:space="preserve"> </w:instrText>
      </w:r>
      <w:r w:rsidR="00927E81">
        <w:instrText>DOCVARIABLE ID01</w:instrText>
      </w:r>
      <w:r w:rsidR="00E33EDD" w:rsidRPr="00F62F31">
        <w:instrText xml:space="preserve"> </w:instrText>
      </w:r>
      <w:r w:rsidR="00E33EDD" w:rsidRPr="00F62F31">
        <w:fldChar w:fldCharType="separate"/>
      </w:r>
      <w:r w:rsidR="00B337F7">
        <w:t>programma</w:t>
      </w:r>
      <w:r w:rsidR="00E33EDD" w:rsidRPr="00F62F31">
        <w:fldChar w:fldCharType="end"/>
      </w:r>
      <w:bookmarkEnd w:id="97"/>
    </w:p>
    <w:p w14:paraId="63934138" w14:textId="3BEBCC43" w:rsidR="001F1278"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B82BAF">
        <w:t>beleid</w:t>
      </w:r>
      <w:r w:rsidR="00B82BAF" w:rsidRPr="00F62F31">
        <w:t xml:space="preserve"> </w:t>
      </w:r>
      <w:r w:rsidR="00675B31">
        <w:t xml:space="preserve">geschreven </w:t>
      </w:r>
      <w:r w:rsidRPr="00F62F31">
        <w:t xml:space="preserve">moet of </w:t>
      </w:r>
      <w:r w:rsidR="00466E84">
        <w:t>kan</w:t>
      </w:r>
      <w:r w:rsidRPr="00F62F31">
        <w:t xml:space="preserve"> worden. </w:t>
      </w:r>
      <w:r w:rsidR="00C530FD" w:rsidRPr="00C530FD">
        <w:t>Wel is bepaald welke aspecten de fysieke leefomgeving in ieder geval omvat en welke gevolgen worden aangemerkt als gevolgen voor de fysieke leefomgeving.</w:t>
      </w:r>
      <w:r w:rsidR="00C530FD">
        <w:t xml:space="preserve"> </w:t>
      </w:r>
      <w:r w:rsidR="00C530FD" w:rsidRPr="00C530FD">
        <w:t xml:space="preserve">In de wet staan vervolgens -soms expliciet, vaker </w:t>
      </w:r>
      <w:r w:rsidR="00C530FD" w:rsidRPr="00C530FD">
        <w:lastRenderedPageBreak/>
        <w:t xml:space="preserve">ook impliciet- specifiekere bepalingen over de kenmerken van </w:t>
      </w:r>
      <w:fldSimple w:instr=" DOCVARIABLE ID01+ ">
        <w:r w:rsidR="00B337F7">
          <w:t>het programma</w:t>
        </w:r>
      </w:fldSimple>
      <w:r w:rsidR="00C530FD" w:rsidRPr="00C530FD">
        <w:t>, zoals beginselen, aanpak en participatie die van toepassing zijn.</w:t>
      </w:r>
    </w:p>
    <w:p w14:paraId="411273D6" w14:textId="77777777" w:rsidR="002C24E9" w:rsidRPr="00F62F31" w:rsidRDefault="002C24E9" w:rsidP="00E33EDD"/>
    <w:p w14:paraId="604835F3" w14:textId="3E20330B" w:rsidR="00E33EDD" w:rsidRPr="00F62F31" w:rsidRDefault="00E33EDD" w:rsidP="00E33EDD">
      <w:r w:rsidRPr="00F62F31">
        <w:fldChar w:fldCharType="begin"/>
      </w:r>
      <w:r w:rsidRPr="00F62F31">
        <w:instrText xml:space="preserve"> REF _Ref_ede6bc72a6c0637c494c31cf296af632_12 \n \h </w:instrText>
      </w:r>
      <w:r w:rsidRPr="00F62F31">
        <w:fldChar w:fldCharType="separate"/>
      </w:r>
      <w:r w:rsidR="00B337F7">
        <w:t>Tabel 4</w:t>
      </w:r>
      <w:r w:rsidRPr="00F62F31">
        <w:fldChar w:fldCharType="end"/>
      </w:r>
      <w:r w:rsidRPr="00F62F31">
        <w:t xml:space="preserve"> </w:t>
      </w:r>
      <w:r w:rsidR="005479AE" w:rsidRPr="005479AE">
        <w:t xml:space="preserve">biedt een overzicht van </w:t>
      </w:r>
      <w:r w:rsidR="002C24E9" w:rsidRPr="002C24E9">
        <w:t xml:space="preserve">onderwerpen die in </w:t>
      </w:r>
      <w:fldSimple w:instr=" DOCVARIABLE ID01+ ">
        <w:r w:rsidR="00B337F7">
          <w:t>het programma</w:t>
        </w:r>
      </w:fldSimple>
      <w:r w:rsidR="002C24E9" w:rsidRPr="002C24E9">
        <w:t xml:space="preserve"> aan de orde kunnen komen. Aan Rijk, provincies en gemeenten worden geen verplichtingen gesteld over de inhoud en wijze waarop zij invulling geven aan hun integrale strategische visie op de fysieke leefomgeving. Voor de samenstelling van deze tabel is gebruik gemaakt van de Omgevings-wet met de voorgenomen wijzigingen die door het wetsontwerp Invoeringswet Omgevings-wet (juli 2018) in de Omgevingswet worden aangebracht.</w:t>
      </w:r>
    </w:p>
    <w:p w14:paraId="40854EB0" w14:textId="2EC4ED55" w:rsidR="00E33EDD" w:rsidRPr="00F62F31" w:rsidRDefault="001B3A4D" w:rsidP="00E33EDD">
      <w:pPr>
        <w:pStyle w:val="Tabeltitel"/>
      </w:pPr>
      <w:bookmarkStart w:id="98" w:name="_Ref_ede6bc72a6c0637c494c31cf296af632_12"/>
      <w:r>
        <w:t>K</w:t>
      </w:r>
      <w:r w:rsidR="00E33EDD">
        <w:t xml:space="preserve">enmerken </w:t>
      </w:r>
      <w:r w:rsidR="00E33EDD" w:rsidRPr="00F62F31">
        <w:fldChar w:fldCharType="begin"/>
      </w:r>
      <w:r w:rsidR="00E33EDD" w:rsidRPr="00F62F31">
        <w:rPr>
          <w:noProof/>
        </w:rPr>
        <w:instrText xml:space="preserve"> </w:instrText>
      </w:r>
      <w:r w:rsidR="00927E81">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bookmarkEnd w:id="98"/>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43B9EFEB" w:rsidR="00E33EDD" w:rsidRPr="00D00483" w:rsidRDefault="002C24E9" w:rsidP="00D00483">
            <w:r w:rsidRPr="002C24E9">
              <w:t>Inhoud op hoofdlijnen</w:t>
            </w:r>
          </w:p>
        </w:tc>
        <w:tc>
          <w:tcPr>
            <w:tcW w:w="1168" w:type="pct"/>
          </w:tcPr>
          <w:p w14:paraId="5C120804" w14:textId="0BFE7BE0" w:rsidR="00E33EDD" w:rsidRPr="003C33C9" w:rsidRDefault="002C24E9" w:rsidP="00D00483">
            <w:pPr>
              <w:rPr>
                <w:highlight w:val="yellow"/>
              </w:rPr>
            </w:pPr>
            <w:r w:rsidRPr="003C33C9">
              <w:rPr>
                <w:highlight w:val="yellow"/>
              </w:rPr>
              <w:t>art. 3.</w:t>
            </w:r>
            <w:r w:rsidR="00085915">
              <w:rPr>
                <w:highlight w:val="yellow"/>
              </w:rPr>
              <w:t>5</w:t>
            </w:r>
            <w:r w:rsidRPr="003C33C9">
              <w:rPr>
                <w:highlight w:val="yellow"/>
              </w:rPr>
              <w:t xml:space="preserve"> </w:t>
            </w:r>
          </w:p>
        </w:tc>
        <w:tc>
          <w:tcPr>
            <w:tcW w:w="2333" w:type="pct"/>
          </w:tcPr>
          <w:p w14:paraId="69CB2654" w14:textId="492A6A49" w:rsidR="002C24E9" w:rsidRPr="003C33C9" w:rsidRDefault="002C24E9" w:rsidP="002C24E9">
            <w:pPr>
              <w:rPr>
                <w:highlight w:val="yellow"/>
              </w:rPr>
            </w:pPr>
            <w:r w:rsidRPr="003C33C9">
              <w:rPr>
                <w:highlight w:val="yellow"/>
              </w:rPr>
              <w:t xml:space="preserve">Een </w:t>
            </w:r>
            <w:r w:rsidR="00534A4F" w:rsidRPr="003C33C9">
              <w:rPr>
                <w:highlight w:val="yellow"/>
              </w:rPr>
              <w:t>programma</w:t>
            </w:r>
            <w:r w:rsidRPr="003C33C9">
              <w:rPr>
                <w:highlight w:val="yellow"/>
              </w:rPr>
              <w:t xml:space="preserve"> bevat:</w:t>
            </w:r>
          </w:p>
          <w:p w14:paraId="35CC8208" w14:textId="3CE2F4AD" w:rsidR="00DD323C" w:rsidRPr="00BC7938" w:rsidRDefault="00DD323C" w:rsidP="0094761C">
            <w:pPr>
              <w:pStyle w:val="Opsommingtekens1"/>
              <w:rPr>
                <w:highlight w:val="yellow"/>
              </w:rPr>
            </w:pPr>
            <w:r>
              <w:t>een uitwerking van het te voeren beleid voor de ontwikkeling,</w:t>
            </w:r>
            <w:r w:rsidR="00F17E95">
              <w:t xml:space="preserve"> </w:t>
            </w:r>
            <w:r>
              <w:t xml:space="preserve">het gebruik, het beheer, de bescherming of het behoud </w:t>
            </w:r>
            <w:r w:rsidR="002B4BA9">
              <w:t>van de fysieke leefomgeving</w:t>
            </w:r>
            <w:r>
              <w:t>.</w:t>
            </w:r>
          </w:p>
          <w:p w14:paraId="01B65F85" w14:textId="727AE271" w:rsidR="00E33EDD" w:rsidRPr="003C33C9" w:rsidRDefault="007D2931" w:rsidP="00327E1E">
            <w:pPr>
              <w:pStyle w:val="Opsommingtekens1"/>
              <w:rPr>
                <w:highlight w:val="yellow"/>
              </w:rPr>
            </w:pPr>
            <w:r>
              <w:t>maatregelen om aan een of meer omgevingswaarden te</w:t>
            </w:r>
            <w:r w:rsidR="00F17E95">
              <w:t xml:space="preserve"> </w:t>
            </w:r>
            <w:r>
              <w:t>voldoen of een of meer andere doelstellingen voor de fysieke</w:t>
            </w:r>
            <w:r w:rsidR="00F17E95">
              <w:t xml:space="preserve"> </w:t>
            </w:r>
            <w:r>
              <w:t>leefomgeving te bereiken.</w:t>
            </w:r>
          </w:p>
        </w:tc>
      </w:tr>
      <w:tr w:rsidR="00E33EDD" w:rsidRPr="00D00483" w14:paraId="19F461C2" w14:textId="77777777" w:rsidTr="00FE59B9">
        <w:tc>
          <w:tcPr>
            <w:tcW w:w="1499" w:type="pct"/>
          </w:tcPr>
          <w:p w14:paraId="299E842D" w14:textId="59DE8B2F" w:rsidR="00E33EDD" w:rsidRPr="00D00483" w:rsidRDefault="002C24E9" w:rsidP="00D00483">
            <w:r w:rsidRPr="002C24E9">
              <w:t>Uitgangspunten</w:t>
            </w:r>
          </w:p>
        </w:tc>
        <w:tc>
          <w:tcPr>
            <w:tcW w:w="1168" w:type="pct"/>
          </w:tcPr>
          <w:p w14:paraId="11EF2214" w14:textId="6F4DF04D" w:rsidR="002C24E9" w:rsidRPr="003C33C9" w:rsidRDefault="002C24E9" w:rsidP="002C24E9">
            <w:pPr>
              <w:rPr>
                <w:highlight w:val="yellow"/>
                <w:lang w:val="en-US"/>
              </w:rPr>
            </w:pPr>
            <w:r w:rsidRPr="003C33C9">
              <w:rPr>
                <w:highlight w:val="yellow"/>
                <w:lang w:val="en-US"/>
              </w:rPr>
              <w:t xml:space="preserve">art. 2.1 lid </w:t>
            </w:r>
            <w:r w:rsidR="00347935">
              <w:rPr>
                <w:highlight w:val="yellow"/>
                <w:lang w:val="en-US"/>
              </w:rPr>
              <w:t>1</w:t>
            </w:r>
            <w:r w:rsidR="00347935" w:rsidRPr="003C33C9">
              <w:rPr>
                <w:highlight w:val="yellow"/>
                <w:lang w:val="en-US"/>
              </w:rPr>
              <w:t xml:space="preserve"> </w:t>
            </w:r>
            <w:r w:rsidRPr="003C33C9">
              <w:rPr>
                <w:highlight w:val="yellow"/>
                <w:lang w:val="en-US"/>
              </w:rPr>
              <w:t>Ow</w:t>
            </w:r>
          </w:p>
          <w:p w14:paraId="1DFB09E6" w14:textId="77777777" w:rsidR="002C24E9" w:rsidRPr="003C33C9" w:rsidRDefault="002C24E9" w:rsidP="002C24E9">
            <w:pPr>
              <w:rPr>
                <w:highlight w:val="yellow"/>
                <w:lang w:val="en-US"/>
              </w:rPr>
            </w:pPr>
          </w:p>
          <w:p w14:paraId="42B76B9C" w14:textId="14CA188C" w:rsidR="002C24E9" w:rsidRPr="003C33C9" w:rsidRDefault="002C24E9" w:rsidP="002C24E9">
            <w:pPr>
              <w:rPr>
                <w:highlight w:val="yellow"/>
                <w:lang w:val="en-US"/>
              </w:rPr>
            </w:pPr>
          </w:p>
          <w:p w14:paraId="281C66A3" w14:textId="649A4265" w:rsidR="00025EF5" w:rsidRPr="003C33C9" w:rsidRDefault="00025EF5" w:rsidP="002C24E9">
            <w:pPr>
              <w:rPr>
                <w:highlight w:val="yellow"/>
                <w:lang w:val="en-US"/>
              </w:rPr>
            </w:pPr>
          </w:p>
          <w:p w14:paraId="0CF20BF7" w14:textId="77777777" w:rsidR="00025EF5" w:rsidRPr="003C33C9" w:rsidRDefault="00025EF5" w:rsidP="002C24E9">
            <w:pPr>
              <w:rPr>
                <w:highlight w:val="yellow"/>
                <w:lang w:val="en-US"/>
              </w:rPr>
            </w:pPr>
          </w:p>
          <w:p w14:paraId="41416C1E" w14:textId="1C089F81" w:rsidR="00E33EDD" w:rsidRPr="003C33C9" w:rsidRDefault="00E33EDD" w:rsidP="002C24E9">
            <w:pPr>
              <w:rPr>
                <w:highlight w:val="yellow"/>
                <w:lang w:val="en-US"/>
              </w:rPr>
            </w:pPr>
          </w:p>
        </w:tc>
        <w:tc>
          <w:tcPr>
            <w:tcW w:w="2333" w:type="pct"/>
          </w:tcPr>
          <w:p w14:paraId="4E58AC02" w14:textId="77777777" w:rsidR="00003477" w:rsidRDefault="00003477" w:rsidP="00003477">
            <w:r>
              <w:t>Een bestuursorgaan van een gemeente, een provincie of het Rijk</w:t>
            </w:r>
          </w:p>
          <w:p w14:paraId="3ACBAA35" w14:textId="77777777" w:rsidR="00003477" w:rsidRDefault="00003477" w:rsidP="00003477">
            <w:r>
              <w:t>of, met inachtneming van de Waterschapswet, van een</w:t>
            </w:r>
          </w:p>
          <w:p w14:paraId="324D9928" w14:textId="77777777" w:rsidR="00003477" w:rsidRDefault="00003477" w:rsidP="00003477">
            <w:r>
              <w:t>waterschap oefent zijn taken en bevoegdheden op grond van</w:t>
            </w:r>
          </w:p>
          <w:p w14:paraId="65F96E91" w14:textId="77777777" w:rsidR="00003477" w:rsidRDefault="00003477" w:rsidP="00003477">
            <w:r>
              <w:t>deze wet uit met het oog op de doelen van de wet, tenzij</w:t>
            </w:r>
          </w:p>
          <w:p w14:paraId="20E2055C" w14:textId="678B265F" w:rsidR="00E33EDD" w:rsidRPr="003C33C9" w:rsidRDefault="00003477" w:rsidP="00327E1E">
            <w:pPr>
              <w:pStyle w:val="Opsommingtekens2"/>
              <w:rPr>
                <w:highlight w:val="yellow"/>
              </w:rPr>
            </w:pPr>
            <w:r>
              <w:t>daarover specifieke regels zijn gesteld.</w:t>
            </w:r>
          </w:p>
        </w:tc>
      </w:tr>
      <w:tr w:rsidR="00E33EDD" w:rsidRPr="00D00483" w14:paraId="3F207EEE" w14:textId="77777777" w:rsidTr="00FE59B9">
        <w:tc>
          <w:tcPr>
            <w:tcW w:w="1499" w:type="pct"/>
          </w:tcPr>
          <w:p w14:paraId="029197F8" w14:textId="70937ED7" w:rsidR="00E33EDD" w:rsidRPr="00D00483" w:rsidRDefault="002C24E9" w:rsidP="00D00483">
            <w:r w:rsidRPr="002C24E9">
              <w:t>Zelfbindend</w:t>
            </w:r>
          </w:p>
        </w:tc>
        <w:tc>
          <w:tcPr>
            <w:tcW w:w="1168" w:type="pct"/>
          </w:tcPr>
          <w:p w14:paraId="267FB2CD" w14:textId="3BFE9E52" w:rsidR="00E33EDD" w:rsidRPr="003C33C9" w:rsidRDefault="00E33EDD" w:rsidP="00D00483">
            <w:pPr>
              <w:rPr>
                <w:highlight w:val="yellow"/>
              </w:rPr>
            </w:pPr>
          </w:p>
        </w:tc>
        <w:tc>
          <w:tcPr>
            <w:tcW w:w="2333" w:type="pct"/>
          </w:tcPr>
          <w:p w14:paraId="548B99E6" w14:textId="5E5B3623" w:rsidR="002C24E9" w:rsidRPr="003C33C9" w:rsidRDefault="002C24E9" w:rsidP="00327E1E">
            <w:pPr>
              <w:pStyle w:val="Opsommingtekens1"/>
              <w:rPr>
                <w:highlight w:val="yellow"/>
              </w:rPr>
            </w:pPr>
            <w:r w:rsidRPr="003C33C9">
              <w:rPr>
                <w:highlight w:val="yellow"/>
              </w:rPr>
              <w:t>Geen doorwerking in juridische zin.</w:t>
            </w:r>
          </w:p>
          <w:p w14:paraId="0BFB34AD" w14:textId="4A49AA85" w:rsidR="00E33EDD" w:rsidRPr="003C33C9" w:rsidRDefault="00E33EDD" w:rsidP="00327E1E">
            <w:pPr>
              <w:pStyle w:val="Opsommingtekens1"/>
              <w:rPr>
                <w:highlight w:val="yellow"/>
              </w:rPr>
            </w:pPr>
          </w:p>
        </w:tc>
      </w:tr>
      <w:tr w:rsidR="002C24E9" w:rsidRPr="00D00483" w14:paraId="1FC8C7FE" w14:textId="77777777" w:rsidTr="00FE59B9">
        <w:tc>
          <w:tcPr>
            <w:tcW w:w="1499" w:type="pct"/>
          </w:tcPr>
          <w:p w14:paraId="3CD3FC7A" w14:textId="071F9613" w:rsidR="002C24E9" w:rsidRPr="002C24E9" w:rsidRDefault="0077629F" w:rsidP="00EA46E7">
            <w:pPr>
              <w:tabs>
                <w:tab w:val="left" w:pos="753"/>
              </w:tabs>
            </w:pPr>
            <w:r>
              <w:t>Omgevingswaarde</w:t>
            </w:r>
          </w:p>
        </w:tc>
        <w:tc>
          <w:tcPr>
            <w:tcW w:w="1168" w:type="pct"/>
          </w:tcPr>
          <w:p w14:paraId="2B899848" w14:textId="16BB0EC1" w:rsidR="002C24E9" w:rsidRPr="00F708A1" w:rsidDel="002C24E9" w:rsidRDefault="0077629F" w:rsidP="00D00483">
            <w:r w:rsidRPr="0077629F">
              <w:t>art. 3.10 lid 1</w:t>
            </w:r>
          </w:p>
        </w:tc>
        <w:tc>
          <w:tcPr>
            <w:tcW w:w="2333" w:type="pct"/>
          </w:tcPr>
          <w:p w14:paraId="58A3D254" w14:textId="102B52E6" w:rsidR="002C24E9" w:rsidRPr="003C33C9" w:rsidRDefault="00BF4F11" w:rsidP="00D00483">
            <w:pPr>
              <w:rPr>
                <w:highlight w:val="yellow"/>
              </w:rPr>
            </w:pPr>
            <w:r w:rsidRPr="00BF4F11">
              <w:t xml:space="preserve">Als aannemelijk is dat niet wordt voldaan of niet zal worden voldaan aan een omgevingswaarde, stelt </w:t>
            </w:r>
            <w:r w:rsidR="008C06FE">
              <w:t>het desbetreffende bestuursorgaan</w:t>
            </w:r>
            <w:r w:rsidRPr="00BF4F11">
              <w:t xml:space="preserve"> waar dat het geval is een programma vast, gericht op het voldoen aan die omgevingswaarde</w:t>
            </w:r>
            <w:r>
              <w:t xml:space="preserve">. </w:t>
            </w:r>
          </w:p>
        </w:tc>
      </w:tr>
      <w:tr w:rsidR="002C24E9" w:rsidRPr="00D00483" w14:paraId="0B8C277A" w14:textId="77777777" w:rsidTr="00FE59B9">
        <w:tc>
          <w:tcPr>
            <w:tcW w:w="1499" w:type="pct"/>
          </w:tcPr>
          <w:p w14:paraId="10B26195" w14:textId="065172D7" w:rsidR="002C24E9" w:rsidRPr="002C24E9" w:rsidRDefault="00135B74" w:rsidP="00EA46E7">
            <w:pPr>
              <w:tabs>
                <w:tab w:val="left" w:pos="753"/>
              </w:tabs>
            </w:pPr>
            <w:r w:rsidRPr="00135B74">
              <w:t>Participatie</w:t>
            </w:r>
          </w:p>
        </w:tc>
        <w:tc>
          <w:tcPr>
            <w:tcW w:w="1168" w:type="pct"/>
          </w:tcPr>
          <w:p w14:paraId="265657DD" w14:textId="6917FE9E" w:rsidR="002C24E9" w:rsidRPr="00F708A1" w:rsidDel="002C24E9" w:rsidRDefault="00753688" w:rsidP="00D00483">
            <w:r w:rsidRPr="00753688">
              <w:t>Artikel 3.13</w:t>
            </w:r>
          </w:p>
        </w:tc>
        <w:tc>
          <w:tcPr>
            <w:tcW w:w="2333" w:type="pct"/>
          </w:tcPr>
          <w:p w14:paraId="59757EBE" w14:textId="1DC889CD" w:rsidR="002C24E9" w:rsidRPr="003C33C9" w:rsidRDefault="00884E84" w:rsidP="00D00483">
            <w:pPr>
              <w:rPr>
                <w:highlight w:val="yellow"/>
              </w:rPr>
            </w:pPr>
            <w:commentRangeStart w:id="100"/>
            <w:r w:rsidRPr="00884E84">
              <w:t>Bij algemene maatregel van bestuur kunnen bestuursorganen worden verplicht om programma’s als bedoeld in deze paragraaf gezamenlijk vast te stellen</w:t>
            </w:r>
            <w:commentRangeEnd w:id="100"/>
            <w:r w:rsidR="005539C0">
              <w:rPr>
                <w:rStyle w:val="Verwijzingopmerking"/>
              </w:rPr>
              <w:commentReference w:id="100"/>
            </w:r>
            <w:r w:rsidRPr="00884E84">
              <w: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