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D37A" w14:textId="53FBF0F1" w:rsidR="00E33EDD" w:rsidRPr="00F62F31" w:rsidRDefault="00E33EDD" w:rsidP="00E33EDD">
      <w:pPr>
        <w:pStyle w:val="Kop3"/>
      </w:pPr>
      <w:r w:rsidRPr="00F62F31">
        <w:t>Leeswijzer</w:t>
      </w:r>
    </w:p>
    <w:p w14:paraId="30BDE1CA" w14:textId="77777777" w:rsidR="00A85A46" w:rsidRDefault="0051608E" w:rsidP="00E33EDD">
      <w:r>
        <w:t xml:space="preserve">Dit document is in twee delen </w:t>
      </w:r>
      <w:r w:rsidR="00686661">
        <w:t xml:space="preserve">verdeeld. </w:t>
      </w:r>
      <w:r w:rsidR="006C7DA7">
        <w:t>Deel A</w:t>
      </w:r>
      <w:r w:rsidR="00686661">
        <w:t xml:space="preserve"> b</w:t>
      </w:r>
      <w:r w:rsidR="001C4F6D">
        <w:t>e</w:t>
      </w:r>
      <w:r w:rsidR="00686661">
        <w:t xml:space="preserve">schrijft de uitgangspunten voor de modellering. In dit eerste hoofdstuk zijn de </w:t>
      </w:r>
      <w:r w:rsidR="00E33EDD" w:rsidRPr="00F62F31">
        <w:t>doelstellingen van de Omgevingswet</w:t>
      </w:r>
      <w:r w:rsidR="006C7DA7">
        <w:t xml:space="preserve"> en DSO-LV en de werking van</w:t>
      </w:r>
      <w:r w:rsidR="006F1497">
        <w:t xml:space="preserve"> LVBB</w:t>
      </w:r>
      <w:r w:rsidR="00E33EDD" w:rsidRPr="00F62F31">
        <w:t xml:space="preserve"> en </w:t>
      </w:r>
      <w:r w:rsidR="006C7DA7">
        <w:t>overhe</w:t>
      </w:r>
      <w:r w:rsidR="003D0D1F">
        <w:t>i</w:t>
      </w:r>
      <w:r w:rsidR="006C7DA7">
        <w:t xml:space="preserve">d.nl </w:t>
      </w:r>
      <w:r w:rsidR="00E33EDD" w:rsidRPr="00F62F31">
        <w:t xml:space="preserve">op hoofdlijnen toegelicht. Daarmee is het bredere kader en het doel van het TPOD geschetst. </w:t>
      </w:r>
    </w:p>
    <w:p w14:paraId="3044EE25" w14:textId="6F6130BB" w:rsidR="00A85A46" w:rsidRDefault="00686661" w:rsidP="00E33EDD">
      <w:r>
        <w:t xml:space="preserve">Hoofdstuk </w:t>
      </w:r>
      <w:r>
        <w:fldChar w:fldCharType="begin"/>
      </w:r>
      <w:r>
        <w:instrText xml:space="preserve"> REF _Ref_70b07588f5bcccc211add9f1c3903d72_8 \r \h </w:instrText>
      </w:r>
      <w:r>
        <w:fldChar w:fldCharType="separate"/>
      </w:r>
      <w:r w:rsidR="00B337F7">
        <w:t>2</w:t>
      </w:r>
      <w:r>
        <w:fldChar w:fldCharType="end"/>
      </w:r>
      <w:r>
        <w:t xml:space="preserve"> beschrijft de juridische, inhoudelijke en procedurele aspecten van </w:t>
      </w:r>
      <w:fldSimple w:instr=" DOCVARIABLE ID01+ ">
        <w:r w:rsidR="00B337F7">
          <w:t>het programma</w:t>
        </w:r>
      </w:fldSimple>
      <w:r w:rsidR="006E1F2D">
        <w:t xml:space="preserve"> en andere instrumenten die op </w:t>
      </w:r>
      <w:fldSimple w:instr=" DOCVARIABLE ID01+ ">
        <w:r w:rsidR="00B337F7">
          <w:t>het programma</w:t>
        </w:r>
      </w:fldSimple>
      <w:r w:rsidR="006E1F2D">
        <w:t xml:space="preserve"> inwerken. Ook de overgangsfase na inwerkingtreden van de Omgevingswet komt aan de orde. </w:t>
      </w:r>
    </w:p>
    <w:p w14:paraId="008079E6" w14:textId="7F81704A" w:rsidR="00686661" w:rsidRDefault="006E1F2D" w:rsidP="00E33EDD">
      <w:r>
        <w:t xml:space="preserve">Hoofdstuk </w:t>
      </w:r>
      <w:r w:rsidR="00385C10">
        <w:fldChar w:fldCharType="begin"/>
      </w:r>
      <w:r w:rsidR="00385C10">
        <w:instrText xml:space="preserve"> REF _Ref_1ed2aec44ab72894c0aecf2b5c143c42_16 \r \h </w:instrText>
      </w:r>
      <w:r w:rsidR="00385C10">
        <w:fldChar w:fldCharType="separate"/>
      </w:r>
      <w:r w:rsidR="00B337F7">
        <w:t>3</w:t>
      </w:r>
      <w:r w:rsidR="00385C10">
        <w:fldChar w:fldCharType="end"/>
      </w:r>
      <w:r>
        <w:t xml:space="preserve"> gaat in op de belangrijkste uitgangspunten voor de toepassingsprofielen. Ingegaan wordt op het proces van totstandkoming en bekendmaking, het verschil tussen </w:t>
      </w:r>
      <w:r w:rsidR="006A616C">
        <w:t>omgevingsdocument</w:t>
      </w:r>
      <w:r w:rsidR="001D4F3D">
        <w:t>en</w:t>
      </w:r>
      <w:r>
        <w:t xml:space="preserve"> met en </w:t>
      </w:r>
      <w:r w:rsidR="006A616C">
        <w:t>omgevingsdocument</w:t>
      </w:r>
      <w:r w:rsidR="001D4F3D">
        <w:t>en</w:t>
      </w:r>
      <w:r>
        <w:t xml:space="preserve"> zonder regels, het verschil tussen een initieel besluit, een wijzigingsbesluit en de geconsolideerde </w:t>
      </w:r>
      <w:r w:rsidR="005645D0">
        <w:t>Regeling</w:t>
      </w:r>
      <w:r>
        <w:t xml:space="preserve"> van </w:t>
      </w:r>
      <w:fldSimple w:instr=" DOCVARIABLE ID01+ ">
        <w:r w:rsidR="00B337F7">
          <w:t>het programma</w:t>
        </w:r>
      </w:fldSimple>
      <w:r w:rsidR="00D61D8F">
        <w:t>; daarna worden de hoofdlijnen van annoteren, waardelijsten en presentatiemodel toegelicht.</w:t>
      </w:r>
    </w:p>
    <w:p w14:paraId="2EDC3BB7" w14:textId="77777777" w:rsidR="00EF7DFF" w:rsidRDefault="00EF7DFF" w:rsidP="00E33EDD"/>
    <w:p w14:paraId="23952DB3" w14:textId="66021842" w:rsidR="007F609E" w:rsidRDefault="00D61D8F" w:rsidP="006C7DA7">
      <w:r>
        <w:lastRenderedPageBreak/>
        <w:t xml:space="preserve">Deel B is volledig gewijd aan de modellering van </w:t>
      </w:r>
      <w:fldSimple w:instr=" DOCVARIABLE ID01+ ">
        <w:r w:rsidR="00B337F7">
          <w:t>het programma</w:t>
        </w:r>
      </w:fldSimple>
      <w:r>
        <w:t xml:space="preserve">. Hoofdstuk </w:t>
      </w:r>
      <w:r w:rsidR="00DF3332">
        <w:fldChar w:fldCharType="begin"/>
      </w:r>
      <w:r w:rsidR="00DF3332">
        <w:instrText xml:space="preserve"> REF _Ref_aa19e46e17549fd31aefd71c79f9e393_31 \r \h </w:instrText>
      </w:r>
      <w:r w:rsidR="00DF3332">
        <w:fldChar w:fldCharType="separate"/>
      </w:r>
      <w:r w:rsidR="00B337F7">
        <w:t>B4</w:t>
      </w:r>
      <w:r w:rsidR="00DF3332">
        <w:fldChar w:fldCharType="end"/>
      </w:r>
      <w:r w:rsidR="007F609E">
        <w:t xml:space="preserve"> </w:t>
      </w:r>
      <w:r w:rsidR="0098026B">
        <w:t xml:space="preserve">beschrijft de besluitonderdelen waaruit een besluit tot vaststelling of wijziging van </w:t>
      </w:r>
      <w:fldSimple w:instr=" DOCVARIABLE ID01+ ">
        <w:r w:rsidR="00B337F7">
          <w:t>het programma</w:t>
        </w:r>
      </w:fldSimple>
      <w:r w:rsidR="008D34EF">
        <w:t xml:space="preserve"> </w:t>
      </w:r>
      <w:r w:rsidR="0098026B">
        <w:t xml:space="preserve">bestaat en </w:t>
      </w:r>
      <w:r w:rsidR="00C958A7">
        <w:t xml:space="preserve">het verschil tussen de actuele geldende versie van </w:t>
      </w:r>
      <w:fldSimple w:instr=" DOCVARIABLE ID01+ ">
        <w:r w:rsidR="00B337F7">
          <w:t>het programma</w:t>
        </w:r>
      </w:fldSimple>
      <w:r w:rsidR="00C958A7">
        <w:t xml:space="preserve"> en de geconsolideerde versie daarvan.</w:t>
      </w:r>
    </w:p>
    <w:p w14:paraId="511C2173" w14:textId="0F4927C4" w:rsidR="008514C7" w:rsidRDefault="00C958A7" w:rsidP="006C7DA7">
      <w:r>
        <w:t xml:space="preserve">In hoofdstuk </w:t>
      </w:r>
      <w:r w:rsidR="00DF7F92">
        <w:fldChar w:fldCharType="begin"/>
      </w:r>
      <w:r w:rsidR="00DF7F92">
        <w:instrText xml:space="preserve"> REF _Ref_4b09c885bf6c3db6a54c9761a6e3935f_37 \r \h </w:instrText>
      </w:r>
      <w:r w:rsidR="00DF7F92">
        <w:fldChar w:fldCharType="separate"/>
      </w:r>
      <w:r w:rsidR="00B337F7">
        <w:t>B5</w:t>
      </w:r>
      <w:r w:rsidR="00DF7F92">
        <w:fldChar w:fldCharType="end"/>
      </w:r>
      <w:r>
        <w:t xml:space="preserve"> </w:t>
      </w:r>
      <w:r w:rsidR="00EF7DFF">
        <w:t>wordt het tekstmodel beschreven</w:t>
      </w:r>
      <w:r w:rsidR="00776286">
        <w:t xml:space="preserve"> en de toepassing daarvan op </w:t>
      </w:r>
      <w:fldSimple w:instr=" DOCVARIABLE ID01+ ">
        <w:r w:rsidR="00B337F7">
          <w:t>het programma</w:t>
        </w:r>
      </w:fldSimple>
      <w:r w:rsidR="00776286">
        <w:t xml:space="preserve">. </w:t>
      </w:r>
    </w:p>
    <w:p w14:paraId="17A350AB" w14:textId="21612EA3" w:rsidR="006C7DA7" w:rsidRDefault="001449AF" w:rsidP="006C7DA7">
      <w:r>
        <w:t xml:space="preserve">Hoofdstuk </w:t>
      </w:r>
      <w:r w:rsidR="00C5171B">
        <w:fldChar w:fldCharType="begin"/>
      </w:r>
      <w:r w:rsidR="00C5171B">
        <w:instrText xml:space="preserve"> REF _Ref_9b32c9fda1b95f7f6665c9b0aee8691f_53 \r \h </w:instrText>
      </w:r>
      <w:r w:rsidR="00C5171B">
        <w:fldChar w:fldCharType="separate"/>
      </w:r>
      <w:r w:rsidR="00B337F7">
        <w:t>B6</w:t>
      </w:r>
      <w:r w:rsidR="00C5171B">
        <w:fldChar w:fldCharType="end"/>
      </w:r>
      <w:r>
        <w:t xml:space="preserve"> </w:t>
      </w:r>
      <w:r w:rsidR="000251B8">
        <w:t xml:space="preserve">bevat een beschrijving </w:t>
      </w:r>
      <w:r w:rsidR="00AA0EBF">
        <w:t>IMOW</w:t>
      </w:r>
      <w:r w:rsidR="00ED2B7F">
        <w:t xml:space="preserve">. Na een inleiding op het </w:t>
      </w:r>
      <w:r w:rsidR="00AA0EBF">
        <w:t xml:space="preserve">model </w:t>
      </w:r>
      <w:r w:rsidR="00B22857">
        <w:t xml:space="preserve">wordt </w:t>
      </w:r>
      <w:r w:rsidR="00AA0EBF">
        <w:t>het IMOW-UML-klassediagram</w:t>
      </w:r>
      <w:r w:rsidR="00B22857">
        <w:t xml:space="preserve"> toegelicht evenals de toepassing </w:t>
      </w:r>
      <w:r w:rsidR="00330829">
        <w:t>hiervan in</w:t>
      </w:r>
      <w:r w:rsidR="0052316F">
        <w:t xml:space="preserve"> </w:t>
      </w:r>
      <w:r w:rsidR="006A616C">
        <w:t>omgevingsdocument</w:t>
      </w:r>
      <w:r w:rsidR="001D4F3D">
        <w:t>en</w:t>
      </w:r>
      <w:r w:rsidR="00EB4164">
        <w:t xml:space="preserve">. </w:t>
      </w:r>
      <w:r w:rsidR="00EF3303">
        <w:t xml:space="preserve">In paragraaf </w:t>
      </w:r>
      <w:r w:rsidR="00DE3E02">
        <w:fldChar w:fldCharType="begin"/>
      </w:r>
      <w:r w:rsidR="00DE3E02">
        <w:instrText xml:space="preserve"> REF _Ref_a60fe1a4320d5b52ec0a4bcc7765bab9_62 \r \h </w:instrText>
      </w:r>
      <w:r w:rsidR="00DE3E02">
        <w:fldChar w:fldCharType="separate"/>
      </w:r>
      <w:r w:rsidR="00B337F7">
        <w:t>B6.4</w:t>
      </w:r>
      <w:r w:rsidR="00DE3E02">
        <w:fldChar w:fldCharType="end"/>
      </w:r>
      <w:r w:rsidR="005B72F1">
        <w:t xml:space="preserve"> </w:t>
      </w:r>
      <w:r w:rsidR="00EB4164">
        <w:t>word</w:t>
      </w:r>
      <w:r w:rsidR="00F06A98">
        <w:t>t</w:t>
      </w:r>
      <w:r w:rsidR="00EB4164">
        <w:t xml:space="preserve"> gedetailleerd </w:t>
      </w:r>
      <w:r w:rsidR="00F06A98">
        <w:t xml:space="preserve">toegelicht hoe het annoteren van </w:t>
      </w:r>
      <w:fldSimple w:instr=" DOCVARIABLE ID01+ ">
        <w:r w:rsidR="00B337F7">
          <w:t>het programma</w:t>
        </w:r>
      </w:fldSimple>
      <w:r w:rsidR="00F06A98">
        <w:t xml:space="preserve"> met IMOW-objecten </w:t>
      </w:r>
      <w:r w:rsidR="00AD4D83">
        <w:t>wordt toegepast.</w:t>
      </w:r>
    </w:p>
    <w:p w14:paraId="135C7E67" w14:textId="77777777" w:rsidR="00D14F00" w:rsidRDefault="00D14F00" w:rsidP="006C7DA7"/>
    <w:p w14:paraId="1AB70AEA" w14:textId="1DEB2C95" w:rsidR="00E33EDD" w:rsidRPr="00F62F31" w:rsidRDefault="00E33EDD" w:rsidP="00E33EDD">
      <w:r w:rsidRPr="00F62F31">
        <w:t>De TPOD</w:t>
      </w:r>
      <w:r w:rsidR="000B51C1">
        <w:t>’</w:t>
      </w:r>
      <w:r w:rsidRPr="00F62F31">
        <w:t xml:space="preserve">s voor alle </w:t>
      </w:r>
      <w:r w:rsidR="006A616C">
        <w:t>omgevingsdocument</w:t>
      </w:r>
      <w:r w:rsidR="001D4F3D">
        <w:t>en</w:t>
      </w:r>
      <w:r w:rsidRPr="00F62F31">
        <w:t xml:space="preserve"> volgen dezelfde structuur en indeling, om de vergelijkbaarheid van de tekstblokken en het beheer daarvan nu en in de toekomst zo eenvoudig mogelijk te maken. Het kan zijn dat een paragraaf niet van toepassing is voor een bepaalde TPOD. In dat geval wordt dat ook in de betreffende paragraaf aangegeven.</w:t>
      </w:r>
    </w:p>
    <w:p w14:paraId="7B2A82E1" w14:textId="77777777" w:rsidR="00E33EDD" w:rsidRPr="00F62F31" w:rsidRDefault="00E33EDD" w:rsidP="00E33EDD"/>
    <w:p w14:paraId="28EBE3B5" w14:textId="0E2D4A26" w:rsidR="00E33EDD" w:rsidRDefault="00E33EDD" w:rsidP="00E33EDD">
      <w:r w:rsidRPr="00F62F31">
        <w:t xml:space="preserve">Dit toepassingsprofiel stelt een aantal (overwegend technische en structurerende) normen voor het opstellen van </w:t>
      </w:r>
      <w:fldSimple w:instr=" DOCVARIABLE ID01+ ">
        <w:r w:rsidR="00B337F7">
          <w:t>het programma</w:t>
        </w:r>
      </w:fldSimple>
      <w:r w:rsidRPr="00F62F31">
        <w:t xml:space="preserve">. Voorbeelden daarvan zijn het aantal besluitonderdelen waaruit een besluit tot wijziging van </w:t>
      </w:r>
      <w:fldSimple w:instr=" DOCVARIABLE ID01+ ">
        <w:r w:rsidR="00B337F7">
          <w:t>het programma</w:t>
        </w:r>
      </w:fldSimple>
      <w:r w:rsidRPr="00F62F31">
        <w:t xml:space="preserve"> moet bestaan, de eigenschappen die nodig zijn om een bepaalde annotatie vast te leggen en de manier waarop de relatie tussen tekst en </w:t>
      </w:r>
      <w:r w:rsidR="00CD6158">
        <w:t>locatie</w:t>
      </w:r>
      <w:r w:rsidRPr="00F62F31">
        <w:t xml:space="preserve">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D1707F">
        <w:t xml:space="preserve"> of om beleid</w:t>
      </w:r>
      <w:r w:rsidR="00CA45B0">
        <w:t>.</w:t>
      </w:r>
    </w:p>
    <w:p w14:paraId="1C349ABD" w14:textId="77777777" w:rsidR="00520D94" w:rsidRDefault="00520D94" w:rsidP="00E33EDD"/>
    <w:p w14:paraId="00D02337" w14:textId="7373E123" w:rsidR="00617DE6" w:rsidRPr="00F62F31" w:rsidRDefault="00617DE6" w:rsidP="00E33EDD">
      <w:r w:rsidRPr="00024EC5">
        <w:t xml:space="preserve">In de STOP/TPOD-standaard komen begrippen voor die specifiek zijn voor de standaard en eenduidig gebruikt en uitgelegd moeten worden. Daarom is een lijst opgesteld met die begrippen en hun definities, waar nodig aangevuld met een toelichting en/of voorbeelden. Deze lijst geldt voor alle onderdelen van de standaard en is daarom in een separaat document opgenomen. In </w:t>
      </w:r>
      <w:r w:rsidR="00161BA3">
        <w:fldChar w:fldCharType="begin"/>
      </w:r>
      <w:r w:rsidR="00161BA3">
        <w:instrText xml:space="preserve"> REF _Ref_f4d50b6bba7c81c6da9d8c3e3d821c93_203 \r \h </w:instrText>
      </w:r>
      <w:r w:rsidR="00161BA3">
        <w:fldChar w:fldCharType="separate"/>
      </w:r>
      <w:r w:rsidR="00B337F7">
        <w:t>CBijlage 1</w:t>
      </w:r>
      <w:r w:rsidR="00161BA3">
        <w:fldChar w:fldCharType="end"/>
      </w:r>
      <w:r w:rsidR="00161BA3">
        <w:t xml:space="preserve"> </w:t>
      </w:r>
      <w:r w:rsidRPr="00024EC5">
        <w:t>staat een verwijzing naar deze 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