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1506" w14:textId="68CDF3C6" w:rsidR="00E33EDD" w:rsidRDefault="00E33EDD" w:rsidP="00E33EDD">
      <w:pPr>
        <w:pStyle w:val="Kop4"/>
      </w:pPr>
      <w:r>
        <w:t>Werkingsgebied</w:t>
      </w:r>
    </w:p>
    <w:p w14:paraId="01CDD281" w14:textId="77777777" w:rsidR="00616068" w:rsidRDefault="00616068" w:rsidP="00616068">
      <w:r>
        <w:t>Werkingsgebied is een abstract, conceptueel begrip: het gebied waar een FormeleDivisie zijn werking heeft. Het Werkingsgebied van de FormeleDivisie is de optelling van de Locaties van alle Tekstdelen die samen de FormeleDivisie vormen. Een Tekstdeel krijgt een Locatie middels een locatieaanduiding. Wanneer een FormeleDivisie geen Tekstdelen met eigen Locaties heeft, dan geldt het Werkingsgebied van de hele regeling. Voor omgevingsdocumenten moet dat Werkingsgebied expliciet worden aangegeven. Het wordt niet door LVBB of DSO-LV afgeleid.</w:t>
      </w:r>
    </w:p>
    <w:p w14:paraId="57097682" w14:textId="474FC05B" w:rsidR="00E33EDD" w:rsidRDefault="00616068" w:rsidP="00616068">
      <w:r>
        <w:t>Als het Werkingsgebied in de FormeleDivisie in woorden wordt beschreven, bijvoorbeeld met een geografische of vergelijkbare term (in het Stadspark, op de Veluwe) kunnen LVBB en DSO-LV de exacte ligging van het Werkingsgebied niet afleiden (zij weten immers niet waar het Stadspark is). Het Werkingsgebied van zo’n tekst is dan het specifieke Werkingsgebied van de volledige FormeleDivisie dan wel het Werkingsgebied van de hele regeling. Het is dan aan de lezer van de FormeleDivisie om te interpreteren waar de FormeleDivisie wel en niet werking heeft.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