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EA8B1" w14:textId="77777777" w:rsidR="00610DEF" w:rsidRDefault="00610DEF" w:rsidP="00610DEF">
      <w:pPr>
        <w:pStyle w:val="Kop5"/>
      </w:pPr>
      <w:r>
        <w:t>Definitie</w:t>
      </w:r>
    </w:p>
    <w:p w14:paraId="084A5D0E" w14:textId="77777777" w:rsidR="00610DEF" w:rsidRDefault="00610DEF" w:rsidP="00610DEF">
      <w:r w:rsidRPr="008C5128">
        <w:t xml:space="preserve">Hoofdlijn is een </w:t>
      </w:r>
      <w:r w:rsidRPr="008C5128">
        <w:rPr>
          <w:rFonts w:ascii="Calibri" w:hAnsi="Calibri" w:cs="Calibri"/>
          <w:color w:val="201F1E"/>
          <w:sz w:val="22"/>
          <w:szCs w:val="22"/>
          <w:shd w:val="clear" w:color="auto" w:fill="FFFFFF"/>
        </w:rPr>
        <w:t>element dat de hoofdlijn weergeeft van het beleid voor of de kwaliteit, ontwikkeling of staat van de fysieke leefomgeving dat of die in het Tekstdeel wordt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