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15FC" w14:textId="416F0A27" w:rsidR="006751D5" w:rsidRDefault="00D40344" w:rsidP="006751D5">
      <w:pPr>
        <w:pStyle w:val="Kop5"/>
      </w:pPr>
      <w:r>
        <w:t>Toelichting op de attributen en de waardelijsten</w:t>
      </w:r>
    </w:p>
    <w:p w14:paraId="144294AB" w14:textId="77777777" w:rsidR="004370F7" w:rsidRDefault="0043441A" w:rsidP="00DF4EEA">
      <w:pPr>
        <w:ind w:left="227" w:hanging="227"/>
      </w:pPr>
      <w:r>
        <w:t>•</w:t>
      </w:r>
      <w:r>
        <w:tab/>
      </w:r>
      <w:r w:rsidRPr="00DF4EEA">
        <w:rPr>
          <w:i/>
          <w:iCs/>
        </w:rPr>
        <w:t>noemer</w:t>
      </w:r>
      <w:r>
        <w:t xml:space="preserve"> is de mensleesbare naam die de tekst verbindt met de locatie (vastgelegd in een juridisch vastgesteld geografisch informatieobject), waaruit de lezer kan begrijpen waar de locatie betrekking op heeft. De noemer komt voor in het Tekstdeel en is een attribuut van Locatie. Hierdoor is duidelijk dat Locatie en het Tekstdeel bij elkaar horen. Voorbeelden van noemer voor omgevingsplan respectievelijk omgevingsverordening, waarbij de noemer in cursieve tekst is weergegeven, zijn:</w:t>
      </w:r>
    </w:p>
    <w:p w14:paraId="71B24602" w14:textId="017F85F4" w:rsidR="0043441A" w:rsidRDefault="0043441A" w:rsidP="006E0277">
      <w:pPr>
        <w:ind w:left="454" w:hanging="227"/>
      </w:pPr>
      <w:r>
        <w:t>Ter plaatse van de functie Levendig stadscentrum zijn de volgende activiteiten toegestaan.</w:t>
      </w:r>
    </w:p>
    <w:p w14:paraId="5F34B143" w14:textId="77777777" w:rsidR="0043441A" w:rsidRDefault="0043441A" w:rsidP="006E0277">
      <w:pPr>
        <w:ind w:left="454" w:hanging="227"/>
      </w:pPr>
      <w:r>
        <w:t>Nieuwe luidruchtige activiteiten en gedragingen zijn in een stiltegebied verboden.</w:t>
      </w:r>
    </w:p>
    <w:p w14:paraId="03813EF8" w14:textId="049231CF" w:rsidR="0043441A" w:rsidRDefault="0043441A" w:rsidP="006E0277">
      <w:pPr>
        <w:ind w:firstLine="227"/>
      </w:pPr>
      <w:r>
        <w:t>Zie voor een beschrijving van noemer ook paragraaf 6.2.2.</w:t>
      </w:r>
    </w:p>
    <w:p w14:paraId="10596B97" w14:textId="77777777" w:rsidR="0043441A" w:rsidRDefault="0043441A" w:rsidP="006E0277">
      <w:pPr>
        <w:ind w:left="227" w:hanging="227"/>
      </w:pPr>
      <w:r>
        <w:t>•</w:t>
      </w:r>
      <w:r>
        <w:tab/>
      </w:r>
      <w:r w:rsidRPr="006E0277">
        <w:rPr>
          <w:i/>
          <w:iCs/>
        </w:rPr>
        <w:t>hoogte:</w:t>
      </w:r>
      <w:r>
        <w:t xml:space="preserve"> optioneel attribuut waarmee voor Gebied, Lijn en Punt de hoogteligging kan worden vastgelegd. hoogte wordt vastgelegd met WaardeEenheid, dat bestaat uit de elementen Waarde en Eenheid. Waarde legt de hoogte in een getal vast, Eenheid geeft aan in welke grootheid de hoogte moet worden gemeten. Voor de hand liggende eenheden zijn 'meter t.o.v. NAP', 'meter t.o.v. maaiveld' en 'meter t.o.v. peil'. Om een ligging onder NAP, maaiveld of peil aan te geven moet het getal een negatieve waarde krijgen.</w:t>
      </w:r>
    </w:p>
    <w:p w14:paraId="5BE55D4C" w14:textId="51813BDF" w:rsidR="00E03B0F" w:rsidRDefault="0043441A" w:rsidP="006E0277">
      <w:pPr>
        <w:ind w:left="227" w:hanging="227"/>
      </w:pPr>
      <w:r>
        <w:lastRenderedPageBreak/>
        <w:t>•</w:t>
      </w:r>
      <w:r>
        <w:tab/>
      </w:r>
      <w:r w:rsidRPr="006E0277">
        <w:rPr>
          <w:i/>
          <w:iCs/>
        </w:rPr>
        <w:t>geometrie:</w:t>
      </w:r>
      <w:r>
        <w:t xml:space="preserve"> attribuut dat de verwijzing bevat van een specifiek Gebied, Lijn of Punt naar de identificatie van de bijbehorende Geometrie. Dit attribuut legt dus vast dat deze Geometrie bij het betreffende Gebied, Lijn of Punt hoort.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