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9274A" w14:textId="71052C70" w:rsidR="00581854" w:rsidRDefault="00581854" w:rsidP="00DD6209">
      <w:pPr>
        <w:pStyle w:val="Kop5"/>
      </w:pPr>
      <w:r>
        <w:t>Toelichting op de toepassing</w:t>
      </w:r>
    </w:p>
    <w:p w14:paraId="2BB53367" w14:textId="77777777" w:rsidR="00581854" w:rsidRDefault="00581854" w:rsidP="00581854">
      <w:r>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6181B103" w14:textId="77777777" w:rsidR="00581854" w:rsidRDefault="00581854" w:rsidP="00581854">
      <w:r>
        <w:t>Provincies zullen de Gebiedsaanwijzing Recreatie onder andere gebruiken voor beleid en regels over verblijfsrecreatie en kleinschalige vormen van recreatie. Ook gemeenten zullen in omgevingsvisie en omgevingsplan beleid en regels over vormen van recreatie opnemen en kunnen daarvoor gebruik maken van de Gebiedsaanwijzing Recreatie, maar uitgangspunt is dat zij in het omgevingsplan voor het toedelen van functies bij voorkeur gebruik maken van de Gebiedsaanwijzing van het type Functie.</w:t>
      </w:r>
    </w:p>
    <w:p w14:paraId="47709B94" w14:textId="77777777" w:rsidR="00581854" w:rsidRDefault="00581854" w:rsidP="00581854"/>
    <w:p w14:paraId="460D4E4A" w14:textId="77777777" w:rsidR="00581854" w:rsidRDefault="00581854" w:rsidP="00581854">
      <w:r>
        <w:t xml:space="preserve">Om de geometrische begrenzing van de Gebiedsaanwijzing Recreatie te kunnen vastleggen en de verschillende gebieden van dit type op een kaartbeeld weer te geven is het noodzakelijk om de annotatie Recreatie te gebruiken. Op voorhand is niet te zeggen hoeveel en welke specifieke vormen van de Gebiedsaanwijzing Recreatie in de verschillende omgevingsdocumenten begrensd zullen worden, het is mogelijk dat het er veel verschillende zullen zijn. Er is geen symboliek (kleur, arcering, lijnstijl) voorhanden die een grote </w:t>
      </w:r>
      <w:r>
        <w:lastRenderedPageBreak/>
        <w:t>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gesloten waardelijst. Iedere groep heeft een eigen symboliek. Door te werken met de Gebiedsaanwijzing Recreatie met het attribuut groep en de juiste waarde van de waardelijst Recreatiegroep kunnen de werkingsgebieden van alle specifieke vormen van de Gebiedsaanwijzing Recreatie in een (interactieve) viewer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