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AE59" w14:textId="1F3A6D4E" w:rsidR="00581854" w:rsidRDefault="00581854" w:rsidP="00581854">
      <w:pPr>
        <w:pStyle w:val="Kop5"/>
      </w:pPr>
      <w:r>
        <w:t>Toelichting op de toepassing</w:t>
      </w:r>
    </w:p>
    <w:p w14:paraId="358C6BDE" w14:textId="77777777" w:rsidR="00581854" w:rsidRDefault="00581854" w:rsidP="00581854">
      <w:r>
        <w:t>De Gebiedsaanwijzing van het type Geluid wordt gebruikt voor gebieden waar met het oog op het tegengaan van geluidhinder, specifieke regels gelden. Het gaat hierbij met name om de geluidaandachtsgebieden rond wegen, spoorwegen en industrieterreinen. Daarnaast gaat het ook in elk geval om provinciale stiltegebieden. De Gebiedsaanwijzing Geluid kan ook worden gebruikt in visies en programma’s voor het aangeven van gebieden en objecten waar beleidsmatig bijzondere aandacht is voor geluid, zoals de agglomeraties die vallen onder het bereik van de richtlijn Omgevingslawaai.</w:t>
      </w:r>
    </w:p>
    <w:p w14:paraId="6712EDD3" w14:textId="77777777" w:rsidR="00581854" w:rsidRDefault="00581854" w:rsidP="00581854">
      <w:r>
        <w:t xml:space="preserve">Provincies zullen de Gebiedsaanwijzing Geluid vooral gebruiken voor geluidaandachtsgebieden, geluidscontouren en stiltegebieden. Ook gemeenten zullen in omgevingsvisie en omgevingsplan beleid en regels over geluid opnemen en kunnen daarvoor </w:t>
      </w:r>
      <w:r>
        <w:lastRenderedPageBreak/>
        <w:t>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5C3AB11C" w14:textId="77777777" w:rsidR="00581854" w:rsidRDefault="00581854" w:rsidP="00581854"/>
    <w:p w14:paraId="52A969DE" w14:textId="77777777" w:rsidR="00581854" w:rsidRDefault="00581854" w:rsidP="00581854">
      <w:r>
        <w:t>Om de geometrische begrenzing van de Gebiedsaanwijzing Geluid te kunnen vastleggen en de verschillende gebieden van dit type op een kaartbeeld weer te geven is het noodzakelijk om de annotatie Geluid te gebruiken. Op voorhand is niet te zeggen hoeveel en welke specifieke vormen van de Gebiedsaanwijzing Geluid in de verschillende omgevingsdocumenten begrensd zullen worden, het is mogelijk dat het er veel verschillende zullen zijn. Er is geen symboliek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gesloten waardelijst. Iedere groep heeft een eigen symboliek. Door te werken met de Gebiedsaanwijzing Geluid met het attribuut groep en de juiste waarde van de waardelijst Geluidgroep kunnen de werkingsgebieden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