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A6025" w14:textId="24B04EED" w:rsidR="006F1A47" w:rsidRDefault="00A442B2" w:rsidP="00A442B2">
      <w:pPr>
        <w:pStyle w:val="Kop5"/>
      </w:pPr>
      <w:r>
        <w:t>Definitie</w:t>
      </w:r>
    </w:p>
    <w:p w14:paraId="5CC1ED2B" w14:textId="21B2F026" w:rsidR="00A442B2" w:rsidRDefault="00C71447" w:rsidP="009B2528">
      <w:r w:rsidRPr="00C71447">
        <w:t>Object dat de relatie vormt tussen een beleids- of realisatietekst en de daarmee samenhangende annotaties.</w:t>
      </w:r>
      <w:r w:rsidR="00A442B2" w:rsidRPr="00A442B2">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